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Chew Qian Yi Amanda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HORIZON QUANTUM HOLDINGS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 MEDIA CIR. #05-22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138565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Horizon Quantum Holdings Ltd.</w:t>
              </w:r>
            </w:hyperlink>
            <w:r>
              <w:rPr/>
              <w:t xml:space="preserve"> [ </w:t>
            </w:r>
            <w:r>
              <w:rPr>
                <w:rFonts w:ascii="Times;serif" w:hAnsi="Times;serif"/>
                <w:color w:val="0000FF"/>
                <w:sz w:val="24"/>
                <w:shd w:fill="FFFFFF" w:val="clear"/>
              </w:rPr>
              <w:t>HQ</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61"/>
        <w:gridCol w:w="861"/>
        <w:gridCol w:w="801"/>
        <w:gridCol w:w="93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17,857</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17,857</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17,857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Class A ordinary share, with no par value ("Class A Ordinary Share"), of Horizon Quantum Holdings Ltd. (the "Company") upon vesting,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17, 2026 (the "Grant Date"), Ms. Chew was granted a total of unvested 17,857 RSUs. The RSUs granted to Ms. Chew vest in sixteen approximately equal installments on successive quarterly anniversaries of the Grant Date and are subject to Ms. Chew's continued employment with the Company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Qian Yi Amanda Chew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8016" TargetMode="External"/><Relationship Id="rId5" Type="http://schemas.openxmlformats.org/officeDocument/2006/relationships/hyperlink" Target="http://www.sec.gov/cgi-bin/browse-edgar?action=getcompany&amp;CIK=00020882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3642</Characters>
  <CharactersWithSpaces>4240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