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333-295110</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 TO 6,044,160 CLASS A ORDINARY SHARES ISSUABLE UPON THE EXERCISE OF WARRANTS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2,884,660 WARRANTS OFFERED BY SELLING SECURITYHOLDERS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33,221,695 CLASS A ORDINARY SHARES OFFERED BY SELLING SECURITYHOLDERS</w:t>
      </w:r>
    </w:p>
    <w:p>
      <w:pPr>
        <w:spacing w:after="0" w:line="225" w:lineRule="exact"/>
        <w:rPr>
          <w:sz w:val="24"/>
          <w:szCs w:val="24"/>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UP TO 19,744,585 CLASS A ORDINARY SHARES ISSUABLE UPON THE CONVERSION OF CLASS B SHARES OFFERED BY SELLING SECURITYHOLDERS</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w:t>
      </w:r>
    </w:p>
    <w:p>
      <w:pPr>
        <w:spacing w:after="0" w:line="225"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prospectus relates to the issuance by us of 6,044,160 class A ordinary shares (“</w:t>
      </w:r>
      <w:r>
        <w:rPr>
          <w:rFonts w:ascii="Times New Roman" w:cs="Times New Roman" w:eastAsia="Times New Roman" w:hAnsi="Times New Roman"/>
          <w:sz w:val="18"/>
          <w:szCs w:val="18"/>
          <w:b w:val="1"/>
          <w:bCs w:val="1"/>
          <w:color w:val="auto"/>
        </w:rPr>
        <w:t>Company Class A Shares</w:t>
      </w:r>
      <w:r>
        <w:rPr>
          <w:rFonts w:ascii="Times New Roman" w:cs="Times New Roman" w:eastAsia="Times New Roman" w:hAnsi="Times New Roman"/>
          <w:sz w:val="18"/>
          <w:szCs w:val="18"/>
          <w:color w:val="auto"/>
        </w:rPr>
        <w:t>”) of Horizon Quantum Holdings Ltd. (formerly known as Horizon Quantum Holdings Pte. Ltd. and Rose Holdco Pte. Ltd.) (Company Registration No.: 202537774K), a Singapore public company limited by shares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issuable upon the exercise of 6,044,160 warrants at an exercise price of $11.50 per warrant (the “</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that were issued to certain securityholders in exchange for warrants of dMY Squared Technology Group, Inc. (“</w:t>
      </w:r>
      <w:r>
        <w:rPr>
          <w:rFonts w:ascii="Times New Roman" w:cs="Times New Roman" w:eastAsia="Times New Roman" w:hAnsi="Times New Roman"/>
          <w:sz w:val="18"/>
          <w:szCs w:val="18"/>
          <w:b w:val="1"/>
          <w:bCs w:val="1"/>
          <w:color w:val="auto"/>
        </w:rPr>
        <w:t>DMY</w:t>
      </w:r>
      <w:r>
        <w:rPr>
          <w:rFonts w:ascii="Times New Roman" w:cs="Times New Roman" w:eastAsia="Times New Roman" w:hAnsi="Times New Roman"/>
          <w:sz w:val="18"/>
          <w:szCs w:val="18"/>
          <w:color w:val="auto"/>
        </w:rPr>
        <w:t>”).</w:t>
      </w:r>
    </w:p>
    <w:p>
      <w:pPr>
        <w:spacing w:after="0" w:line="18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certain selling securityholders named in this prospectus, or their permitted transferees (collectively,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(1) 2,884,660 Company Warrants that were issued to dMY Squared Sponsor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exchange for warrants issued to the Sponsor in a private placement that closed concurrently with the initial public offering of DMY (the “</w:t>
      </w:r>
      <w:r>
        <w:rPr>
          <w:rFonts w:ascii="Times New Roman" w:cs="Times New Roman" w:eastAsia="Times New Roman" w:hAnsi="Times New Roman"/>
          <w:sz w:val="18"/>
          <w:szCs w:val="18"/>
          <w:b w:val="1"/>
          <w:bCs w:val="1"/>
          <w:color w:val="auto"/>
        </w:rPr>
        <w:t>Company Private Warrants</w:t>
      </w:r>
      <w:r>
        <w:rPr>
          <w:rFonts w:ascii="Times New Roman" w:cs="Times New Roman" w:eastAsia="Times New Roman" w:hAnsi="Times New Roman"/>
          <w:sz w:val="18"/>
          <w:szCs w:val="18"/>
          <w:color w:val="auto"/>
        </w:rPr>
        <w:t>”) and (2) 52,966,280 Company Class A Shares, including</w:t>
      </w:r>
    </w:p>
    <w:p>
      <w:pPr>
        <w:spacing w:after="0" w:line="180" w:lineRule="exact"/>
        <w:rPr>
          <w:sz w:val="24"/>
          <w:szCs w:val="24"/>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19,957,530 Company Class A Shares held by certain Selling Securityholders;</w:t>
      </w:r>
    </w:p>
    <w:p>
      <w:pPr>
        <w:spacing w:after="0" w:line="24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1,163,484 issued and outstanding Company Class A Shares held by the Sponsor (the “</w:t>
      </w:r>
      <w:r>
        <w:rPr>
          <w:rFonts w:ascii="Times New Roman" w:cs="Times New Roman" w:eastAsia="Times New Roman" w:hAnsi="Times New Roman"/>
          <w:sz w:val="18"/>
          <w:szCs w:val="18"/>
          <w:b w:val="1"/>
          <w:bCs w:val="1"/>
          <w:color w:val="auto"/>
        </w:rPr>
        <w:t>Sponsor Shares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9,196,021 Company Class A Shares issued to certain Selling Securityholders pursuant to various subscription agreements entered into on December 4, 2025, and March 6, 2026;</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2,884,660 Company Class A Shares underlying the Private Warrants;</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19,744,585 Company Class A Shares issuable upon the conversion of the issued and outstanding Class B ordinary shares of the Company (the “</w:t>
      </w:r>
      <w:r>
        <w:rPr>
          <w:rFonts w:ascii="Times New Roman" w:cs="Times New Roman" w:eastAsia="Times New Roman" w:hAnsi="Times New Roman"/>
          <w:sz w:val="18"/>
          <w:szCs w:val="18"/>
          <w:b w:val="1"/>
          <w:bCs w:val="1"/>
          <w:color w:val="auto"/>
        </w:rPr>
        <w:t>Company Class B Shares</w:t>
      </w:r>
      <w:r>
        <w:rPr>
          <w:rFonts w:ascii="Times New Roman" w:cs="Times New Roman" w:eastAsia="Times New Roman" w:hAnsi="Times New Roman"/>
          <w:sz w:val="18"/>
          <w:szCs w:val="18"/>
          <w:color w:val="auto"/>
        </w:rPr>
        <w:t>,” together with the Company Class A Shares, the “</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currently held by Dr. Joseph Fitzsimons;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Class A Shares held by Revere Securities LLC (“</w:t>
      </w:r>
      <w:r>
        <w:rPr>
          <w:rFonts w:ascii="Times New Roman" w:cs="Times New Roman" w:eastAsia="Times New Roman" w:hAnsi="Times New Roman"/>
          <w:sz w:val="18"/>
          <w:szCs w:val="18"/>
          <w:b w:val="1"/>
          <w:bCs w:val="1"/>
          <w:color w:val="auto"/>
        </w:rPr>
        <w:t>Revere</w:t>
      </w:r>
      <w:r>
        <w:rPr>
          <w:rFonts w:ascii="Times New Roman" w:cs="Times New Roman" w:eastAsia="Times New Roman" w:hAnsi="Times New Roman"/>
          <w:sz w:val="18"/>
          <w:szCs w:val="18"/>
          <w:color w:val="auto"/>
        </w:rPr>
        <w:t>”).</w:t>
      </w:r>
    </w:p>
    <w:p>
      <w:pPr>
        <w:spacing w:after="0" w:line="2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for additional information regarding the Selling Securityholders.</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securities registered herein are identified in this prospectus as the “</w:t>
      </w:r>
      <w:r>
        <w:rPr>
          <w:rFonts w:ascii="Times New Roman" w:cs="Times New Roman" w:eastAsia="Times New Roman" w:hAnsi="Times New Roman"/>
          <w:sz w:val="18"/>
          <w:szCs w:val="18"/>
          <w:i w:val="1"/>
          <w:iCs w:val="1"/>
          <w:color w:val="auto"/>
        </w:rPr>
        <w:t>Registered Securities</w:t>
      </w:r>
      <w:r>
        <w:rPr>
          <w:rFonts w:ascii="Times New Roman" w:cs="Times New Roman" w:eastAsia="Times New Roman" w:hAnsi="Times New Roman"/>
          <w:sz w:val="18"/>
          <w:szCs w:val="18"/>
          <w:color w:val="auto"/>
        </w:rPr>
        <w:t>.” We are registering the offer and sale of the Registered Securities to satisfy certain registration rights we have granted. The Selling Securityholders may offer all or part of the Registered Securities for resale from time to time through public or private transactions, at either prevailing market prices or at privately negotiated prices. The Registered Securities are being registered to permit the Selling Securityholders to sell securities from time to time, in amounts, at prices and on terms determined at the time of offering. The Selling Securityholders may sell the Registered Securities through ordinary brokerage transactions, in underwritten offerings, directly to market makers of our securities or through any other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 In connection with any sales of the Registered Securities offered hereunder, the Selling Securityholders, any underwriters, agents, brokers or dealers participating in such sales may be deemed to be “underwriters” within the meaning of the Securities Act of 1933, as amended.</w:t>
      </w:r>
    </w:p>
    <w:p>
      <w:pPr>
        <w:spacing w:after="0" w:line="18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Company Class A Shares and Company Public Warrants, are listed on the Nasdaq Stock Market LLC (“Nasdaq”), under the trading symbols “HQ” and “HQWWW,” respectively. On April 20, 2026, the closing price for our Company Class A Shares on Nasdaq was US$13.05 and the closing price for our Company Public Warrants on Nasdaq was US$3.70.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lock-up restrictions described in this prospectus under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the Selling Securityholders can sell, under this prospectus, up to 52,966,280 Company Class A Shares constituting (on a post-exercise basis) approximately 91.92% of our issued and outstanding Company Shares as of April 21, 2026 (assuming the exercise of all of our outstanding Company Warrants). Despite a potential decline in the public trading price of our Company Class A Shares, certain Selling Securityholders may still experience a positive rate of return on the securities that they sell pursuant to this prospectus as they have acquired the securities registered hereunder at prices substantially below current market prices, and may therefore have an incentive to sell their securities. The holders of Company Warrants may experience a potential profit on their Company Warrants if the price of our Company Class A Shares exceeds US$11.50 per share. However, the public holders of our securities may not experience a similar rate of return on the securities they purchase due to differences in the applicable purchase price and trading price.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substantial number of securities being registered for potential resale by the Selling Securityholders pursuant to this prospectus, the sale of such securities by the Selling Securityholders, or the perception in the market that the Selling Securityholders may or intend to sell all or a significant portion of such securities, could increase the volatility of the market price of our Company Class A Shares or result in a significant decline in the public trading price of our Company Class A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sale of the securities by the Selling Securityholders. We will receive proceeds from the exercise of Company Warrants if the Company Warrants are exercised for cash. The likelihood that warrant holders will exercise the Company Warrants and any cash proceeds that we would receive is dependent upon the market price of our Company Class A Shares. Based on the closing price of our Company Class A Shares at US$13.05 on April 20, 2026, which is more than the exercise price of US$11.50 per share pursuant to the terms of the Company Warrants, we believe the warrant holders may exercise their Company Warrants, and, if any Company Warrants are exercised on a cash basis, we will receive proceeds from such exercise of Company Warrants. We will pay the expenses associated with registering the sales by the Selling Securityholders, as described in more details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appearing elsewhere in this prospectus.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as amended, and, as such, may elect to comply with certain reduced public company reporting requirements in future reports.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such as the rules regulating solicitation of proxies and certain insider reporting and short-swing profit rules. Moreover, the information we are required to file with or furnish to the SEC will be less extensive and less timely compared to that required to be filed with the SEC by U.S. domestic issuers. In addition, as a company incorporated in Singapore, we are permitted to adopt certain home country practices in relation to corporate governance matters that differ significantly from the corporate governance standards of the Nasdaq Stock Market.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12 of this prospectus and other risk factors contained in the documents incorporated by reference herein for a discussion of information that should be considered in connection with an investment in our securities.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800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 PRESENTATION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INDUSTRY AND MARKET DATA</w:t>
            </w:r>
          </w:p>
        </w:tc>
        <w:tc>
          <w:tcPr>
            <w:tcW w:w="75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v</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x</w:t>
            </w:r>
          </w:p>
        </w:tc>
      </w:tr>
      <w:tr>
        <w:trPr>
          <w:trHeight w:val="175"/>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60" w:type="dxa"/>
            <w:vAlign w:val="bottom"/>
            <w:tcBorders>
              <w:top w:val="single" w:sz="8" w:color="CCEEFF"/>
            </w:tcBorders>
            <w:gridSpan w:val="2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SELECTED HISTORICAL FINANCIAL DATA</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658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66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 AND AGENT FOR SERVICE OF PROCESS IN THE UNITED STATES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880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4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176"/>
        </w:trPr>
        <w:tc>
          <w:tcPr>
            <w:tcW w:w="772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252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674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176"/>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56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OUR SECURITIES</w:t>
            </w:r>
          </w:p>
        </w:tc>
        <w:tc>
          <w:tcPr>
            <w:tcW w:w="464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144</w:t>
            </w:r>
          </w:p>
        </w:tc>
      </w:tr>
      <w:tr>
        <w:trPr>
          <w:trHeight w:val="175"/>
        </w:trPr>
        <w:tc>
          <w:tcPr>
            <w:tcW w:w="318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706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18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152</w:t>
            </w:r>
          </w:p>
        </w:tc>
      </w:tr>
      <w:tr>
        <w:trPr>
          <w:trHeight w:val="175"/>
        </w:trPr>
        <w:tc>
          <w:tcPr>
            <w:tcW w:w="102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155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156</w:t>
            </w:r>
          </w:p>
        </w:tc>
      </w:tr>
      <w:tr>
        <w:trPr>
          <w:trHeight w:val="176"/>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156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156</w:t>
            </w:r>
          </w:p>
        </w:tc>
      </w:tr>
      <w:tr>
        <w:trPr>
          <w:trHeight w:val="175"/>
        </w:trPr>
        <w:tc>
          <w:tcPr>
            <w:tcW w:w="38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42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Horizon Quantum Holdings Ltd.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More Information.” You should rely only on information contained in this prospectus. We have not, and the Selling Securityholders have not, authorized anyone to provide you with information different from that contained in this prospectus. The information contained in this prospectus is accurate only as of the date on the front cover of the prospectus. You should not assume that the information contained in this prospectus is accurate as of any other date.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“Plan of Distribution.”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information in this prospectus as of December 31, 2024 and 2025 have been derived from the consolidated financial statements of Horizon Quantum Computing Ltd. which are included elsewhere in this prospectus. The consolidated financial statements of Horizon for the years ended December 31, 2024 and 2025 are prepared in accordance with generally accepted accounting principles in the U.S. (“U.S. GAAP”).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of dMY Squared Technology Group, Inc. (“DMY”) for the years ended December 31, 2025 and 2024 are prepared in accordance with U.S. GAAP.</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in this prospectus presents the combination of financial information of DMY and Horizon, adjusted to give effect to the Business Combination and related transactions. The unaudited pro forma condensed combined financials information has been prepared in accordance with Article 11 of Regulation S-X as amended by the final rule, Release No. 33-10786 “</w:t>
      </w:r>
      <w:r>
        <w:rPr>
          <w:rFonts w:ascii="Times New Roman" w:cs="Times New Roman" w:eastAsia="Times New Roman" w:hAnsi="Times New Roman"/>
          <w:sz w:val="18"/>
          <w:szCs w:val="18"/>
          <w:i w:val="1"/>
          <w:iCs w:val="1"/>
          <w:color w:val="auto"/>
        </w:rPr>
        <w:t>Amendments to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Acquired and Disposed Businesses</w:t>
      </w:r>
      <w:r>
        <w:rPr>
          <w:rFonts w:ascii="Times New Roman" w:cs="Times New Roman" w:eastAsia="Times New Roman" w:hAnsi="Times New Roman"/>
          <w:sz w:val="18"/>
          <w:szCs w:val="18"/>
          <w:color w:val="auto"/>
        </w:rPr>
        <w:t>” to depict the accounting for the transaction (“</w:t>
      </w:r>
      <w:r>
        <w:rPr>
          <w:rFonts w:ascii="Times New Roman" w:cs="Times New Roman" w:eastAsia="Times New Roman" w:hAnsi="Times New Roman"/>
          <w:sz w:val="18"/>
          <w:szCs w:val="18"/>
          <w:b w:val="1"/>
          <w:bCs w:val="1"/>
          <w:i w:val="1"/>
          <w:iCs w:val="1"/>
          <w:color w:val="auto"/>
        </w:rPr>
        <w:t>Transaction Accounting Adjustments</w:t>
      </w:r>
      <w:r>
        <w:rPr>
          <w:rFonts w:ascii="Times New Roman" w:cs="Times New Roman" w:eastAsia="Times New Roman" w:hAnsi="Times New Roman"/>
          <w:sz w:val="18"/>
          <w:szCs w:val="18"/>
          <w:color w:val="auto"/>
        </w:rPr>
        <w:t>”) and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reasonably estimable synergies and other transaction effects that have occurred or are reasonably expected to occur (“</w:t>
      </w:r>
      <w:r>
        <w:rPr>
          <w:rFonts w:ascii="Times New Roman" w:cs="Times New Roman" w:eastAsia="Times New Roman" w:hAnsi="Times New Roman"/>
          <w:sz w:val="18"/>
          <w:szCs w:val="18"/>
          <w:b w:val="1"/>
          <w:bCs w:val="1"/>
          <w:i w:val="1"/>
          <w:iCs w:val="1"/>
          <w:color w:val="auto"/>
        </w:rPr>
        <w:t>Management’s Adjustments</w:t>
      </w:r>
      <w:r>
        <w:rPr>
          <w:rFonts w:ascii="Times New Roman" w:cs="Times New Roman" w:eastAsia="Times New Roman" w:hAnsi="Times New Roman"/>
          <w:sz w:val="18"/>
          <w:szCs w:val="18"/>
          <w:color w:val="auto"/>
        </w:rPr>
        <w:t>”). DMY has elected not to present Management’s Adjustments and will only be presenting Transaction Accounting Adjustments in the unaudited pro forma condensed combined financial information. The unaudited pro forma condensed combined financial statements have been presented for illustrative purposes only and do not necessarily reflect what the Company’s financial condition or results of operations would have been had the Business Combination occurred on the dates indicated. Further, the pro forma condensed combined financial information also may not be useful in predicting the future financial condition and results of operations of the Company. The actual financial position and results of operations of the Company may differ significantly from the pro forma amounts reflected herein due to a variety of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including market size and growth of the markets in which we participate, that are based on industry publications, reports and forecasts prepared by our management. In some cases, we do not expressly refer to the sources from which these estimates and information are derived. This information involves a number of assumptions and limitations, and you are cautioned not to give undue weight to these estimates.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estimates of market opportunity, including internal estimates of our addressable market and forecasts of market growth, included in this prospectus may prove inaccurate. Market opportunity estimates and growth forecasts, whether obtained from third-party sources or developed internally, are subject to significant uncertainty and are based on assumptions and estimates that may prove to be inaccurate. The estimates and forecasts in this prospectus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prospectus, our business could fail to successfully address or compete in such markets, if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stated in this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or the context otherwise requires, references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A&amp;R Constitution</w:t>
      </w:r>
      <w:r>
        <w:rPr>
          <w:rFonts w:ascii="Times New Roman" w:cs="Times New Roman" w:eastAsia="Times New Roman" w:hAnsi="Times New Roman"/>
          <w:sz w:val="18"/>
          <w:szCs w:val="18"/>
          <w:color w:val="auto"/>
        </w:rPr>
        <w:t>” means the amended and restated constitution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Amalgamation</w:t>
      </w:r>
      <w:r>
        <w:rPr>
          <w:rFonts w:ascii="Times New Roman" w:cs="Times New Roman" w:eastAsia="Times New Roman" w:hAnsi="Times New Roman"/>
          <w:sz w:val="18"/>
          <w:szCs w:val="18"/>
          <w:color w:val="auto"/>
        </w:rPr>
        <w:t>” means the combination of Merger Sub 1 and Horizon in accordance with Section 215A of the Singapore Companies Act, with Horizon surviving as the amalgamated company and as a wholly-owned subsidiary of the Company, pursuant to the terms of the Business Combination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API</w:t>
      </w:r>
      <w:r>
        <w:rPr>
          <w:rFonts w:ascii="Times New Roman" w:cs="Times New Roman" w:eastAsia="Times New Roman" w:hAnsi="Times New Roman"/>
          <w:sz w:val="18"/>
          <w:szCs w:val="18"/>
          <w:color w:val="auto"/>
        </w:rPr>
        <w:t>” means Application Programming Interface.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and documents related thereto, including the Amalgamation and the Merger.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September 9, 2025, by and among dMY, Horizon, Merger Sub 1, Horizon Computing, and Merger Sub 2, a copy of which is filed as Exhibit 2.1 to this Registration Statement, and as may be amended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closing of the Business Combination, which occurred on March 19,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Share Conversion</w:t>
      </w:r>
      <w:r>
        <w:rPr>
          <w:rFonts w:ascii="Times New Roman" w:cs="Times New Roman" w:eastAsia="Times New Roman" w:hAnsi="Times New Roman"/>
          <w:sz w:val="18"/>
          <w:szCs w:val="18"/>
          <w:color w:val="auto"/>
        </w:rPr>
        <w:t>” means the automatic conversion of DMY Class A Shares on a one-for-one basis into Company Class A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Horizon Quantum Holdings Ltd. (formerly known as Horizon Quantum Holdings Pte. Ltd. and Rose Holdco Pte. Ltd.) (Company Registration No.: 202537774K), a Singapore public company limited by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Class A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Class A ordinary shares, with no par value,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Class B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Class B ordinary shares, with no par value,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w:t>
      </w:r>
      <w:r>
        <w:rPr>
          <w:rFonts w:ascii="Times New Roman" w:cs="Times New Roman" w:eastAsia="Times New Roman" w:hAnsi="Times New Roman"/>
          <w:sz w:val="18"/>
          <w:szCs w:val="18"/>
          <w:color w:val="auto"/>
        </w:rPr>
        <w:t>” means the options to subscribe for Company Class A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means the Company Class A Shares together with the Company Class 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color w:val="auto"/>
        </w:rPr>
        <w:t>” means the Company Private Warrants together with the Company Public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Private Warrants</w:t>
      </w:r>
      <w:r>
        <w:rPr>
          <w:rFonts w:ascii="Times New Roman" w:cs="Times New Roman" w:eastAsia="Times New Roman" w:hAnsi="Times New Roman"/>
          <w:sz w:val="18"/>
          <w:szCs w:val="18"/>
          <w:color w:val="auto"/>
        </w:rPr>
        <w:t>” means the warrants assumed by the Company in exchange for the DMY Private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Public Warrants</w:t>
      </w:r>
      <w:r>
        <w:rPr>
          <w:rFonts w:ascii="Times New Roman" w:cs="Times New Roman" w:eastAsia="Times New Roman" w:hAnsi="Times New Roman"/>
          <w:sz w:val="18"/>
          <w:szCs w:val="18"/>
          <w:color w:val="auto"/>
        </w:rPr>
        <w:t>” means the redeemable warrants exercisable for one Company Class A Ordinary Share each.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means Continental Stock Transfer &amp;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Currently Owned Shares</w:t>
      </w:r>
      <w:r>
        <w:rPr>
          <w:rFonts w:ascii="Times New Roman" w:cs="Times New Roman" w:eastAsia="Times New Roman" w:hAnsi="Times New Roman"/>
          <w:sz w:val="18"/>
          <w:szCs w:val="18"/>
          <w:color w:val="auto"/>
        </w:rPr>
        <w:t>” means shares of DMY Class A Shares a PIPE Investor, or its affiliates, beneficially owned as of March 9,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dMY Squared Technology Group, Inc., a Massachusetts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Articles</w:t>
      </w:r>
      <w:r>
        <w:rPr>
          <w:rFonts w:ascii="Times New Roman" w:cs="Times New Roman" w:eastAsia="Times New Roman" w:hAnsi="Times New Roman"/>
          <w:sz w:val="18"/>
          <w:szCs w:val="18"/>
          <w:color w:val="auto"/>
        </w:rPr>
        <w:t>” means DMY’s amended and restated articles of association,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Class A Shares</w:t>
      </w:r>
      <w:r>
        <w:rPr>
          <w:rFonts w:ascii="Times New Roman" w:cs="Times New Roman" w:eastAsia="Times New Roman" w:hAnsi="Times New Roman"/>
          <w:sz w:val="18"/>
          <w:szCs w:val="18"/>
          <w:color w:val="auto"/>
        </w:rPr>
        <w:t>” means the Class A common stock, par value $0.0001 of DMY.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Class B Shares</w:t>
      </w:r>
      <w:r>
        <w:rPr>
          <w:rFonts w:ascii="Times New Roman" w:cs="Times New Roman" w:eastAsia="Times New Roman" w:hAnsi="Times New Roman"/>
          <w:sz w:val="18"/>
          <w:szCs w:val="18"/>
          <w:color w:val="auto"/>
        </w:rPr>
        <w:t>” means the Class B common stock, par value $0.0001 of DMY.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Common Stock</w:t>
      </w:r>
      <w:r>
        <w:rPr>
          <w:rFonts w:ascii="Times New Roman" w:cs="Times New Roman" w:eastAsia="Times New Roman" w:hAnsi="Times New Roman"/>
          <w:sz w:val="18"/>
          <w:szCs w:val="18"/>
          <w:color w:val="auto"/>
        </w:rPr>
        <w:t>” means the DMY Class A Shares together with the DMY Class 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IPO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DMY’s IPO</w:t>
      </w:r>
      <w:r>
        <w:rPr>
          <w:rFonts w:ascii="Times New Roman" w:cs="Times New Roman" w:eastAsia="Times New Roman" w:hAnsi="Times New Roman"/>
          <w:sz w:val="18"/>
          <w:szCs w:val="18"/>
          <w:color w:val="auto"/>
        </w:rPr>
        <w:t>” means the initial public offering of DMY Units, which closed in October 2022.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Private Warrants</w:t>
      </w:r>
      <w:r>
        <w:rPr>
          <w:rFonts w:ascii="Times New Roman" w:cs="Times New Roman" w:eastAsia="Times New Roman" w:hAnsi="Times New Roman"/>
          <w:sz w:val="18"/>
          <w:szCs w:val="18"/>
          <w:color w:val="auto"/>
        </w:rPr>
        <w:t>” means the outstanding private placement warrants of DMY initially issued in a private placement simultaneous with DMY’s IPO.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Public Warrants</w:t>
      </w:r>
      <w:r>
        <w:rPr>
          <w:rFonts w:ascii="Times New Roman" w:cs="Times New Roman" w:eastAsia="Times New Roman" w:hAnsi="Times New Roman"/>
          <w:sz w:val="18"/>
          <w:szCs w:val="18"/>
          <w:color w:val="auto"/>
        </w:rPr>
        <w:t>” means the warrants to purchase DMY Class A Shares issued as a part of the DMY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DMY Units</w:t>
      </w:r>
      <w:r>
        <w:rPr>
          <w:rFonts w:ascii="Times New Roman" w:cs="Times New Roman" w:eastAsia="Times New Roman" w:hAnsi="Times New Roman"/>
          <w:sz w:val="18"/>
          <w:szCs w:val="18"/>
          <w:color w:val="auto"/>
        </w:rPr>
        <w:t>” means the unit sold in DMY’s IPO.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means the Horizon Quantum Holdings Ltd. 2026 Employee Share Purchase Plan, to be adopted by the Company Board upon the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the DMY Class B Shares initially purchased by the Sponsor in a private placement prior to DMY’s IPO, and the DMY Class A Shares issued or issuable upon the conversion of the DMY Class B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 of Founder Shares</w:t>
      </w:r>
      <w:r>
        <w:rPr>
          <w:rFonts w:ascii="Times New Roman" w:cs="Times New Roman" w:eastAsia="Times New Roman" w:hAnsi="Times New Roman"/>
          <w:sz w:val="18"/>
          <w:szCs w:val="18"/>
          <w:color w:val="auto"/>
        </w:rPr>
        <w:t>” means the Sponsor and the permitted transferees of the Sponsor.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w:t>
      </w:r>
      <w:r>
        <w:rPr>
          <w:rFonts w:ascii="Times New Roman" w:cs="Times New Roman" w:eastAsia="Times New Roman" w:hAnsi="Times New Roman"/>
          <w:sz w:val="18"/>
          <w:szCs w:val="18"/>
          <w:color w:val="auto"/>
        </w:rPr>
        <w:t>” means Horizon Quantum Computing Pte. Ltd. (Company Registration No.: 201802755E), a Singapore private company limited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 Options</w:t>
      </w:r>
      <w:r>
        <w:rPr>
          <w:rFonts w:ascii="Times New Roman" w:cs="Times New Roman" w:eastAsia="Times New Roman" w:hAnsi="Times New Roman"/>
          <w:sz w:val="18"/>
          <w:szCs w:val="18"/>
          <w:color w:val="auto"/>
        </w:rPr>
        <w:t>” means the outstanding and unexercised option to subscribe for Horizon Ordinary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 Ordinary Shares</w:t>
      </w:r>
      <w:r>
        <w:rPr>
          <w:rFonts w:ascii="Times New Roman" w:cs="Times New Roman" w:eastAsia="Times New Roman" w:hAnsi="Times New Roman"/>
          <w:sz w:val="18"/>
          <w:szCs w:val="18"/>
          <w:color w:val="auto"/>
        </w:rPr>
        <w:t>” means the ordinary shares of Horizon.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 Preference Share Conversion</w:t>
      </w:r>
      <w:r>
        <w:rPr>
          <w:rFonts w:ascii="Times New Roman" w:cs="Times New Roman" w:eastAsia="Times New Roman" w:hAnsi="Times New Roman"/>
          <w:sz w:val="18"/>
          <w:szCs w:val="18"/>
          <w:color w:val="auto"/>
        </w:rPr>
        <w:t>” means the exchange and conversion of each Horizon Preference Share into Horizon Ordinary Shares at the applicable conversion ratio set forth in the Horizon Constitution, which occurred one business day prior to the effective time of the Amalgamation pursuant to the terms of the Business Combination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Horizon Shareholders</w:t>
      </w:r>
      <w:r>
        <w:rPr>
          <w:rFonts w:ascii="Times New Roman" w:cs="Times New Roman" w:eastAsia="Times New Roman" w:hAnsi="Times New Roman"/>
          <w:sz w:val="18"/>
          <w:szCs w:val="18"/>
          <w:color w:val="auto"/>
        </w:rPr>
        <w:t>” means the holders of Horizon’s capital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an initial public offering.</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means the agreement entered into by the Holders of Founder Shares and Horizon Shareholders (the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Securityholders</w:t>
      </w:r>
      <w:r>
        <w:rPr>
          <w:rFonts w:ascii="Times New Roman" w:cs="Times New Roman" w:eastAsia="Times New Roman" w:hAnsi="Times New Roman"/>
          <w:sz w:val="18"/>
          <w:szCs w:val="18"/>
          <w:color w:val="auto"/>
        </w:rPr>
        <w:t>”), pursuant to which certain of the Company Shares held by the Lock-Up Security Holders (the “</w:t>
      </w:r>
      <w:r>
        <w:rPr>
          <w:rFonts w:ascii="Times New Roman" w:cs="Times New Roman" w:eastAsia="Times New Roman" w:hAnsi="Times New Roman"/>
          <w:sz w:val="18"/>
          <w:szCs w:val="18"/>
          <w:b w:val="1"/>
          <w:bCs w:val="1"/>
          <w:i w:val="1"/>
          <w:iCs w:val="1"/>
          <w:color w:val="auto"/>
        </w:rPr>
        <w:t>Lock-Up Shares</w:t>
      </w:r>
      <w:r>
        <w:rPr>
          <w:rFonts w:ascii="Times New Roman" w:cs="Times New Roman" w:eastAsia="Times New Roman" w:hAnsi="Times New Roman"/>
          <w:sz w:val="18"/>
          <w:szCs w:val="18"/>
          <w:color w:val="auto"/>
        </w:rPr>
        <w:t>”) are subject to lock-up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a period immediately following the Closing (the “</w:t>
      </w:r>
      <w:r>
        <w:rPr>
          <w:rFonts w:ascii="Times New Roman" w:cs="Times New Roman" w:eastAsia="Times New Roman" w:hAnsi="Times New Roman"/>
          <w:sz w:val="18"/>
          <w:szCs w:val="18"/>
          <w:b w:val="1"/>
          <w:bCs w:val="1"/>
          <w:i w:val="1"/>
          <w:iCs w:val="1"/>
          <w:color w:val="auto"/>
        </w:rPr>
        <w:t>Shares Lock-Up Period</w:t>
      </w:r>
      <w:r>
        <w:rPr>
          <w:rFonts w:ascii="Times New Roman" w:cs="Times New Roman" w:eastAsia="Times New Roman" w:hAnsi="Times New Roman"/>
          <w:sz w:val="18"/>
          <w:szCs w:val="18"/>
          <w:color w:val="auto"/>
        </w:rPr>
        <w:t>”) and the Company Warrants and underlying Company Shares are subject to lock-up during a period following the Closing (the “</w:t>
      </w:r>
      <w:r>
        <w:rPr>
          <w:rFonts w:ascii="Times New Roman" w:cs="Times New Roman" w:eastAsia="Times New Roman" w:hAnsi="Times New Roman"/>
          <w:sz w:val="18"/>
          <w:szCs w:val="18"/>
          <w:b w:val="1"/>
          <w:bCs w:val="1"/>
          <w:i w:val="1"/>
          <w:iCs w:val="1"/>
          <w:color w:val="auto"/>
        </w:rPr>
        <w:t>Warrants Lock-Up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w:t>
      </w:r>
      <w:r>
        <w:rPr>
          <w:rFonts w:ascii="Times New Roman" w:cs="Times New Roman" w:eastAsia="Times New Roman" w:hAnsi="Times New Roman"/>
          <w:sz w:val="17"/>
          <w:szCs w:val="17"/>
          <w:color w:val="auto"/>
        </w:rPr>
        <w:t>” means the merger of Merger Sub 2 with and into DMY, with DMY surviving the Merger as a wholly-owned subsidiary of the Company.</w:t>
      </w:r>
    </w:p>
    <w:p>
      <w:pPr>
        <w:spacing w:after="0" w:line="23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means the aggregate merger consideration of $508,384,000 paid to the shareholders of Horizon, consisting entirely of newly issued Company Class A Shares and Company Class B Shares.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1</w:t>
      </w:r>
      <w:r>
        <w:rPr>
          <w:rFonts w:ascii="Times New Roman" w:cs="Times New Roman" w:eastAsia="Times New Roman" w:hAnsi="Times New Roman"/>
          <w:sz w:val="18"/>
          <w:szCs w:val="18"/>
          <w:color w:val="auto"/>
        </w:rPr>
        <w:t>” means Rose Acquisition Pte. Ltd. (Company Registration No.: 202537790M), a Singapore private company limited by shares and a wholly-owned subsidiary of the Company.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 2</w:t>
      </w:r>
      <w:r>
        <w:rPr>
          <w:rFonts w:ascii="Times New Roman" w:cs="Times New Roman" w:eastAsia="Times New Roman" w:hAnsi="Times New Roman"/>
          <w:sz w:val="18"/>
          <w:szCs w:val="18"/>
          <w:color w:val="auto"/>
        </w:rPr>
        <w:t>” means Horizon Merger Sub 2, Inc., a Massachusetts corporation and wholly-owned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Subs</w:t>
      </w:r>
      <w:r>
        <w:rPr>
          <w:rFonts w:ascii="Times New Roman" w:cs="Times New Roman" w:eastAsia="Times New Roman" w:hAnsi="Times New Roman"/>
          <w:sz w:val="18"/>
          <w:szCs w:val="18"/>
          <w:color w:val="auto"/>
        </w:rPr>
        <w:t>” means Merger Sub 1 and Merger Sub 2, together.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 Private Placement</w:t>
      </w:r>
      <w:r>
        <w:rPr>
          <w:rFonts w:ascii="Times New Roman" w:cs="Times New Roman" w:eastAsia="Times New Roman" w:hAnsi="Times New Roman"/>
          <w:sz w:val="18"/>
          <w:szCs w:val="18"/>
          <w:color w:val="auto"/>
        </w:rPr>
        <w:t>” means the agreement by accredited investors, pursuant to mutually agreed subscription agreements, to subscribe for and purchase, at the Closing, Company Class A Shares at a purchase price equal to the Redemption Price. On December 4, 2025, and March 6, 2026, DMY, the Company, and Horizon entered into Subscription Agreements (the “</w:t>
      </w:r>
      <w:r>
        <w:rPr>
          <w:rFonts w:ascii="Times New Roman" w:cs="Times New Roman" w:eastAsia="Times New Roman" w:hAnsi="Times New Roman"/>
          <w:sz w:val="18"/>
          <w:szCs w:val="18"/>
          <w:b w:val="1"/>
          <w:bCs w:val="1"/>
          <w:i w:val="1"/>
          <w:iCs w:val="1"/>
          <w:color w:val="auto"/>
        </w:rPr>
        <w:t>PIPE Subscription Agreements</w:t>
      </w:r>
      <w:r>
        <w:rPr>
          <w:rFonts w:ascii="Times New Roman" w:cs="Times New Roman" w:eastAsia="Times New Roman" w:hAnsi="Times New Roman"/>
          <w:sz w:val="18"/>
          <w:szCs w:val="18"/>
          <w:color w:val="auto"/>
        </w:rPr>
        <w:t xml:space="preserve">”) with certain institutional and accredited investors, qualified institutional buyers and strategic investors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Pursuant to the PIPE Subscription Agreements, the Company agreed to issue and sell, and the PIPE Investors agreed to subscribe for and purchase an aggregate of $110,412,500 of Company Class A Shares (the “</w:t>
      </w:r>
      <w:r>
        <w:rPr>
          <w:rFonts w:ascii="Times New Roman" w:cs="Times New Roman" w:eastAsia="Times New Roman" w:hAnsi="Times New Roman"/>
          <w:sz w:val="18"/>
          <w:szCs w:val="18"/>
          <w:b w:val="1"/>
          <w:bCs w:val="1"/>
          <w:i w:val="1"/>
          <w:iCs w:val="1"/>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per share price equal to the Redemption Price, which comprises the PIPE Private Placement.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means the investors who entered into the PIPE Subscription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PIPE Subscription Agreement</w:t>
      </w:r>
      <w:r>
        <w:rPr>
          <w:rFonts w:ascii="Times New Roman" w:cs="Times New Roman" w:eastAsia="Times New Roman" w:hAnsi="Times New Roman"/>
          <w:sz w:val="18"/>
          <w:szCs w:val="18"/>
          <w:color w:val="auto"/>
        </w:rPr>
        <w:t>” means the subscription agreements entered into on December 4, 2025, and March 6, 2026, as amended, by and among DMY, Horizon, the Company and the PIPE Investors.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means the DMY Class A Shares initially issued as part of the DMY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means the holders of the Public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SAFE</w:t>
      </w:r>
      <w:r>
        <w:rPr>
          <w:rFonts w:ascii="Times New Roman" w:cs="Times New Roman" w:eastAsia="Times New Roman" w:hAnsi="Times New Roman"/>
          <w:sz w:val="18"/>
          <w:szCs w:val="18"/>
          <w:color w:val="auto"/>
        </w:rPr>
        <w:t>” means a simple agreement for future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Singapore Companies Act</w:t>
      </w:r>
      <w:r>
        <w:rPr>
          <w:rFonts w:ascii="Times New Roman" w:cs="Times New Roman" w:eastAsia="Times New Roman" w:hAnsi="Times New Roman"/>
          <w:sz w:val="18"/>
          <w:szCs w:val="18"/>
          <w:color w:val="auto"/>
        </w:rPr>
        <w:t>” means the Companies Act of Singapore,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dMY Squared Sponsor, LLC, a Delaware limited liability company established for the purpose of forming and managing DMY.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Shares</w:t>
      </w:r>
      <w:r>
        <w:rPr>
          <w:rFonts w:ascii="Times New Roman" w:cs="Times New Roman" w:eastAsia="Times New Roman" w:hAnsi="Times New Roman"/>
          <w:sz w:val="18"/>
          <w:szCs w:val="18"/>
          <w:color w:val="auto"/>
        </w:rPr>
        <w:t>” means the 1,163,484 Company Class A Shares held by the Sponsor.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Continental.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means the trust account established in connection with DMY’s IPO.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 Separation</w:t>
      </w:r>
      <w:r>
        <w:rPr>
          <w:rFonts w:ascii="Times New Roman" w:cs="Times New Roman" w:eastAsia="Times New Roman" w:hAnsi="Times New Roman"/>
          <w:sz w:val="18"/>
          <w:szCs w:val="18"/>
          <w:color w:val="auto"/>
        </w:rPr>
        <w:t>” means the automatic separation of the DMY Units into their component parts, with the holder deemed to hold one DMY Class A Share and one-half of one warrant to purchase DMY Class A Shares per DMY Unit held prior to the automatic separation.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19, 2026, Horizon Quantum Holdings Ltd. (formerly known as Horizon Quantum Holdings Pte. Ltd. and Rose Holdco Pte. Ltd.) (Company Registration No.: 202537774K), a Singapore public company limited by shares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consummated the previously announced business combination with dMY Squared Technology Group, Inc. (“</w:t>
      </w:r>
      <w:r>
        <w:rPr>
          <w:rFonts w:ascii="Times New Roman" w:cs="Times New Roman" w:eastAsia="Times New Roman" w:hAnsi="Times New Roman"/>
          <w:sz w:val="18"/>
          <w:szCs w:val="18"/>
          <w:b w:val="1"/>
          <w:bCs w:val="1"/>
          <w:color w:val="auto"/>
        </w:rPr>
        <w:t>DMY</w:t>
      </w:r>
      <w:r>
        <w:rPr>
          <w:rFonts w:ascii="Times New Roman" w:cs="Times New Roman" w:eastAsia="Times New Roman" w:hAnsi="Times New Roman"/>
          <w:sz w:val="18"/>
          <w:szCs w:val="18"/>
          <w:color w:val="auto"/>
        </w:rPr>
        <w:t>”), pursuant to the business combination agreement, dated as of September 9, 2025 (as amended, supplemented and/or restated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DMY, the Company, Rose Acquisition Pte. Ltd. (Company Registration No.: 202537790M), a Singapore private company limited by shares and a wholly-owned subsidiary of the Company (“</w:t>
      </w:r>
      <w:r>
        <w:rPr>
          <w:rFonts w:ascii="Times New Roman" w:cs="Times New Roman" w:eastAsia="Times New Roman" w:hAnsi="Times New Roman"/>
          <w:sz w:val="18"/>
          <w:szCs w:val="18"/>
          <w:b w:val="1"/>
          <w:bCs w:val="1"/>
          <w:color w:val="auto"/>
        </w:rPr>
        <w:t>Merger Sub 1</w:t>
      </w:r>
      <w:r>
        <w:rPr>
          <w:rFonts w:ascii="Times New Roman" w:cs="Times New Roman" w:eastAsia="Times New Roman" w:hAnsi="Times New Roman"/>
          <w:sz w:val="18"/>
          <w:szCs w:val="18"/>
          <w:color w:val="auto"/>
        </w:rPr>
        <w:t>”), Horizon Merger Sub 2, Inc., a Massachusetts corporation and wholly-owned subsidiary of the Company (“</w:t>
      </w:r>
      <w:r>
        <w:rPr>
          <w:rFonts w:ascii="Times New Roman" w:cs="Times New Roman" w:eastAsia="Times New Roman" w:hAnsi="Times New Roman"/>
          <w:sz w:val="18"/>
          <w:szCs w:val="18"/>
          <w:b w:val="1"/>
          <w:bCs w:val="1"/>
          <w:color w:val="auto"/>
        </w:rPr>
        <w:t>Merger Sub 2</w:t>
      </w:r>
      <w:r>
        <w:rPr>
          <w:rFonts w:ascii="Times New Roman" w:cs="Times New Roman" w:eastAsia="Times New Roman" w:hAnsi="Times New Roman"/>
          <w:sz w:val="18"/>
          <w:szCs w:val="18"/>
          <w:color w:val="auto"/>
        </w:rPr>
        <w:t>”), and Horizon Quantum Computing Pte. Ltd. (Company Registration No.: 201802755E), a Singapore private company limited by shares (“</w:t>
      </w:r>
      <w:r>
        <w:rPr>
          <w:rFonts w:ascii="Times New Roman" w:cs="Times New Roman" w:eastAsia="Times New Roman" w:hAnsi="Times New Roman"/>
          <w:sz w:val="18"/>
          <w:szCs w:val="18"/>
          <w:b w:val="1"/>
          <w:bCs w:val="1"/>
          <w:color w:val="auto"/>
        </w:rPr>
        <w:t>Horizon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March 19, 2026 (the “</w:t>
      </w:r>
      <w:r>
        <w:rPr>
          <w:rFonts w:ascii="Times New Roman" w:cs="Times New Roman" w:eastAsia="Times New Roman" w:hAnsi="Times New Roman"/>
          <w:sz w:val="18"/>
          <w:szCs w:val="18"/>
          <w:b w:val="1"/>
          <w:bCs w:val="1"/>
          <w:color w:val="auto"/>
        </w:rPr>
        <w:t>Amalgamation Effective Time</w:t>
      </w:r>
      <w:r>
        <w:rPr>
          <w:rFonts w:ascii="Times New Roman" w:cs="Times New Roman" w:eastAsia="Times New Roman" w:hAnsi="Times New Roman"/>
          <w:sz w:val="18"/>
          <w:szCs w:val="18"/>
          <w:color w:val="auto"/>
        </w:rPr>
        <w:t>”), Merger Sub 1 amalgamated with and into Horizon (the “</w:t>
      </w:r>
      <w:r>
        <w:rPr>
          <w:rFonts w:ascii="Times New Roman" w:cs="Times New Roman" w:eastAsia="Times New Roman" w:hAnsi="Times New Roman"/>
          <w:sz w:val="18"/>
          <w:szCs w:val="18"/>
          <w:b w:val="1"/>
          <w:bCs w:val="1"/>
          <w:color w:val="auto"/>
        </w:rPr>
        <w:t>Amalgamation</w:t>
      </w:r>
      <w:r>
        <w:rPr>
          <w:rFonts w:ascii="Times New Roman" w:cs="Times New Roman" w:eastAsia="Times New Roman" w:hAnsi="Times New Roman"/>
          <w:sz w:val="18"/>
          <w:szCs w:val="18"/>
          <w:color w:val="auto"/>
        </w:rPr>
        <w:t>”), with Horizon surviving the Amalgamation as a wholly-owned subsidiary of the Company and the outstanding shares of Horizon being converted into the right to receive Company Class A Shares or the right to receive Company Class B Shares, as the case may be. Subsequent to the Amalgamation, Merger Sub 2 merged with and into DMY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DMY surviving the Merger as a wholly-owned subsidiary of the Company and the outstanding securities of DMY being converted into the right to receive Company Class A Shares and/or Company Warrants (the Amalgamation and the Merger together with the other transactions contemplated by the Business Combination Agreement and other ancillary documents,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Business Combination Agreement, the aggregate merger consideration amount paid to the shareholders of Horizon is $508,384,000 and was paid entirely in newly issued Company Class A Shares and Company Class B Shares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at the consummation of the Business Combination, on March 19, 2026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(a) each issued and outstanding ordinary share in the share capital of Horizon (the “</w:t>
      </w:r>
      <w:r>
        <w:rPr>
          <w:rFonts w:ascii="Times New Roman" w:cs="Times New Roman" w:eastAsia="Times New Roman" w:hAnsi="Times New Roman"/>
          <w:sz w:val="18"/>
          <w:szCs w:val="18"/>
          <w:b w:val="1"/>
          <w:bCs w:val="1"/>
          <w:color w:val="auto"/>
        </w:rPr>
        <w:t>Horizon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was automatically converted into the right to receive a number of Company Shares equal to the Exchange Ratio (as defined below),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conditions of the Business Combination Agreement (b) the shares of Horizon that were held by Joseph Fitzsimons, the Chief Executive Officer and Chairman of the Board of Horizon and the Company, that were issued and outstanding immediately prior to the Amalgamation Effective Time were cancelled and converted into the right to receive such number of Company Class B Shares equal to the Exchange Ratio and in accordance with the Business Combination Agreement, with each such Company Class B Share entitling each holder thereof to three (3) votes for each Company Class B Ordinary Share held (c) each simple agreement for future equity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was canceled and automatically deemed to represent the right to receive a number of Company Class A Shares equal to the Exchange Ratio multiplied by the number of Horizon Ordinary shares (on an as-converted basis) subject to such SAFE, and (d) each outstanding and unexercised option to subscribe for Horizon Ordinary shares (each, a “</w:t>
      </w:r>
      <w:r>
        <w:rPr>
          <w:rFonts w:ascii="Times New Roman" w:cs="Times New Roman" w:eastAsia="Times New Roman" w:hAnsi="Times New Roman"/>
          <w:sz w:val="18"/>
          <w:szCs w:val="18"/>
          <w:b w:val="1"/>
          <w:bCs w:val="1"/>
          <w:color w:val="auto"/>
        </w:rPr>
        <w:t>Horizon Option</w:t>
      </w:r>
      <w:r>
        <w:rPr>
          <w:rFonts w:ascii="Times New Roman" w:cs="Times New Roman" w:eastAsia="Times New Roman" w:hAnsi="Times New Roman"/>
          <w:sz w:val="18"/>
          <w:szCs w:val="18"/>
          <w:color w:val="auto"/>
        </w:rPr>
        <w:t>”) became an option to subscribe for Company Class A Shares (each, a “</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containing the same terms, conditions, vesting and other provisions as are currently applicable to such Horizon Options, provided that each Company Option is exercisable for the number of Company Class A Shares equal to the Exchange Ratio multiplied by the number of Horizon Ordinary Shares subject to the Horizon Option as of immediately prior to the Amalgamation Effective Time, rounded down to the nearest whole share, at an exercise price equal to the per share exercise price of the Horizon Option divided by the Exchange Ratio, rounded up to the nearest whole cent.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(a) Aggregate Amalgamation Consideration divided by (b) the Fully-Diluted Company Capitalization, each as defined in the Business Combination Agreement, attached hereto as Exhibit 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After the completion of the Amalgamation and prior to the Merger, (1) DMY effected the redemption of the shares of Class A common stock of DMY, par value $0.0001 per share (the “</w:t>
      </w:r>
      <w:r>
        <w:rPr>
          <w:rFonts w:ascii="Times New Roman" w:cs="Times New Roman" w:eastAsia="Times New Roman" w:hAnsi="Times New Roman"/>
          <w:sz w:val="18"/>
          <w:szCs w:val="18"/>
          <w:b w:val="1"/>
          <w:bCs w:val="1"/>
          <w:color w:val="auto"/>
        </w:rPr>
        <w:t>DMY Class A Shares</w:t>
      </w:r>
      <w:r>
        <w:rPr>
          <w:rFonts w:ascii="Times New Roman" w:cs="Times New Roman" w:eastAsia="Times New Roman" w:hAnsi="Times New Roman"/>
          <w:sz w:val="18"/>
          <w:szCs w:val="18"/>
          <w:color w:val="auto"/>
        </w:rPr>
        <w:t>”), initially issued as part of the DMY Units (as defined below) sold in DMY’s initial public offering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and the holders of Public Shares, the “</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that were submitted for redemption and not withdrawn,</w:t>
      </w:r>
    </w:p>
    <w:p>
      <w:pPr>
        <w:spacing w:after="0" w:line="1" w:lineRule="exact"/>
        <w:rPr>
          <w:sz w:val="20"/>
          <w:szCs w:val="20"/>
          <w:color w:val="auto"/>
        </w:rPr>
      </w:pPr>
    </w:p>
    <w:p>
      <w:pPr>
        <w:jc w:val="both"/>
        <w:ind w:firstLine="8"/>
        <w:spacing w:after="0" w:line="253"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Class B common stock of DMY, par value $0.0001 per share (the “</w:t>
      </w:r>
      <w:r>
        <w:rPr>
          <w:rFonts w:ascii="Times New Roman" w:cs="Times New Roman" w:eastAsia="Times New Roman" w:hAnsi="Times New Roman"/>
          <w:sz w:val="18"/>
          <w:szCs w:val="18"/>
          <w:b w:val="1"/>
          <w:bCs w:val="1"/>
          <w:color w:val="auto"/>
        </w:rPr>
        <w:t>DMY Class B Shares</w:t>
      </w:r>
      <w:r>
        <w:rPr>
          <w:rFonts w:ascii="Times New Roman" w:cs="Times New Roman" w:eastAsia="Times New Roman" w:hAnsi="Times New Roman"/>
          <w:sz w:val="18"/>
          <w:szCs w:val="18"/>
          <w:color w:val="auto"/>
        </w:rPr>
        <w:t>”, and together with the DMY Class A Shares, the “</w:t>
      </w:r>
      <w:r>
        <w:rPr>
          <w:rFonts w:ascii="Times New Roman" w:cs="Times New Roman" w:eastAsia="Times New Roman" w:hAnsi="Times New Roman"/>
          <w:sz w:val="18"/>
          <w:szCs w:val="18"/>
          <w:b w:val="1"/>
          <w:bCs w:val="1"/>
          <w:color w:val="auto"/>
        </w:rPr>
        <w:t>DMY Common Stock</w:t>
      </w:r>
      <w:r>
        <w:rPr>
          <w:rFonts w:ascii="Times New Roman" w:cs="Times New Roman" w:eastAsia="Times New Roman" w:hAnsi="Times New Roman"/>
          <w:sz w:val="18"/>
          <w:szCs w:val="18"/>
          <w:color w:val="auto"/>
        </w:rPr>
        <w:t>”), were automatically converted into DMY Class A Shares on a one-for-one basis (the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(3) each unit sold in DMY’s initial public offering (the “</w:t>
      </w:r>
      <w:r>
        <w:rPr>
          <w:rFonts w:ascii="Times New Roman" w:cs="Times New Roman" w:eastAsia="Times New Roman" w:hAnsi="Times New Roman"/>
          <w:sz w:val="18"/>
          <w:szCs w:val="18"/>
          <w:b w:val="1"/>
          <w:bCs w:val="1"/>
          <w:color w:val="auto"/>
        </w:rPr>
        <w:t>DMY Units</w:t>
      </w:r>
      <w:r>
        <w:rPr>
          <w:rFonts w:ascii="Times New Roman" w:cs="Times New Roman" w:eastAsia="Times New Roman" w:hAnsi="Times New Roman"/>
          <w:sz w:val="18"/>
          <w:szCs w:val="18"/>
          <w:color w:val="auto"/>
        </w:rPr>
        <w:t>”) was automatically separated into its component parts (the “</w:t>
      </w:r>
      <w:r>
        <w:rPr>
          <w:rFonts w:ascii="Times New Roman" w:cs="Times New Roman" w:eastAsia="Times New Roman" w:hAnsi="Times New Roman"/>
          <w:sz w:val="18"/>
          <w:szCs w:val="18"/>
          <w:b w:val="1"/>
          <w:bCs w:val="1"/>
          <w:color w:val="auto"/>
        </w:rPr>
        <w:t>Unit Separation</w:t>
      </w:r>
      <w:r>
        <w:rPr>
          <w:rFonts w:ascii="Times New Roman" w:cs="Times New Roman" w:eastAsia="Times New Roman" w:hAnsi="Times New Roman"/>
          <w:sz w:val="18"/>
          <w:szCs w:val="18"/>
          <w:color w:val="auto"/>
        </w:rPr>
        <w:t>”) and the holder of each DMY Unit was deemed to hold one DMY Class A Share and one-half of one warrant to purchase DMY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DMY Public 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(a) each outstanding DMY Class A Share (excluding any Public Shares which were redeemed) were automatically converted into the right to receive one Company Class A Share, (b) each outstanding whole DMY Public Warrant (including DMY Public Warrants issued upon the Unit Separation) were assumed by the Company and are exercisable for Company Class A Shares in lieu of DMY Class A Shares (the “</w:t>
      </w:r>
      <w:r>
        <w:rPr>
          <w:rFonts w:ascii="Times New Roman" w:cs="Times New Roman" w:eastAsia="Times New Roman" w:hAnsi="Times New Roman"/>
          <w:sz w:val="18"/>
          <w:szCs w:val="18"/>
          <w:b w:val="1"/>
          <w:bCs w:val="1"/>
          <w:color w:val="auto"/>
        </w:rPr>
        <w:t>Company Public Warrants</w:t>
      </w:r>
      <w:r>
        <w:rPr>
          <w:rFonts w:ascii="Times New Roman" w:cs="Times New Roman" w:eastAsia="Times New Roman" w:hAnsi="Times New Roman"/>
          <w:sz w:val="18"/>
          <w:szCs w:val="18"/>
          <w:color w:val="auto"/>
        </w:rPr>
        <w:t>”), and (c) each outstanding private placement warrant of DMY initially issued in a private placement simultaneous with DMY’s initial public offering (the “</w:t>
      </w:r>
      <w:r>
        <w:rPr>
          <w:rFonts w:ascii="Times New Roman" w:cs="Times New Roman" w:eastAsia="Times New Roman" w:hAnsi="Times New Roman"/>
          <w:sz w:val="18"/>
          <w:szCs w:val="18"/>
          <w:b w:val="1"/>
          <w:bCs w:val="1"/>
          <w:color w:val="auto"/>
        </w:rPr>
        <w:t>DMY Private Warrants</w:t>
      </w:r>
      <w:r>
        <w:rPr>
          <w:rFonts w:ascii="Times New Roman" w:cs="Times New Roman" w:eastAsia="Times New Roman" w:hAnsi="Times New Roman"/>
          <w:sz w:val="18"/>
          <w:szCs w:val="18"/>
          <w:color w:val="auto"/>
        </w:rPr>
        <w:t>”) was assumed by the Company and will be exercisable for Company Class A Shares in lieu of DMY Class A Shares (the “</w:t>
      </w:r>
      <w:r>
        <w:rPr>
          <w:rFonts w:ascii="Times New Roman" w:cs="Times New Roman" w:eastAsia="Times New Roman" w:hAnsi="Times New Roman"/>
          <w:sz w:val="18"/>
          <w:szCs w:val="18"/>
          <w:b w:val="1"/>
          <w:bCs w:val="1"/>
          <w:color w:val="auto"/>
        </w:rPr>
        <w:t>Company Private Warrants</w:t>
      </w:r>
      <w:r>
        <w:rPr>
          <w:rFonts w:ascii="Times New Roman" w:cs="Times New Roman" w:eastAsia="Times New Roman" w:hAnsi="Times New Roman"/>
          <w:sz w:val="18"/>
          <w:szCs w:val="18"/>
          <w:color w:val="auto"/>
        </w:rPr>
        <w:t>,” and together with the Company Public Warrants, the “</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4, 2025 and March 6, 2026, the Company entered into certain Subscription Agreements (the “</w:t>
      </w:r>
      <w:r>
        <w:rPr>
          <w:rFonts w:ascii="Times New Roman" w:cs="Times New Roman" w:eastAsia="Times New Roman" w:hAnsi="Times New Roman"/>
          <w:sz w:val="18"/>
          <w:szCs w:val="18"/>
          <w:b w:val="1"/>
          <w:bCs w:val="1"/>
          <w:color w:val="auto"/>
        </w:rPr>
        <w:t>PIPE Subscription Agreements</w:t>
      </w:r>
      <w:r>
        <w:rPr>
          <w:rFonts w:ascii="Times New Roman" w:cs="Times New Roman" w:eastAsia="Times New Roman" w:hAnsi="Times New Roman"/>
          <w:sz w:val="18"/>
          <w:szCs w:val="18"/>
          <w:color w:val="auto"/>
        </w:rPr>
        <w:t>”) with DMY, Horizon and certain 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pursuant to which, among other things, the PIPE Investors agreed to subscribe for and purchase, and the Company agreed to issue and sell to the PIPE Investors, an aggregate of 9,196,020 Company Class A Shares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at a purchase price equal to $11.82 per share (the “</w:t>
      </w:r>
      <w:r>
        <w:rPr>
          <w:rFonts w:ascii="Times New Roman" w:cs="Times New Roman" w:eastAsia="Times New Roman" w:hAnsi="Times New Roman"/>
          <w:sz w:val="18"/>
          <w:szCs w:val="18"/>
          <w:b w:val="1"/>
          <w:bCs w:val="1"/>
          <w:color w:val="auto"/>
        </w:rPr>
        <w:t>PIPE Private Placement</w:t>
      </w:r>
      <w:r>
        <w:rPr>
          <w:rFonts w:ascii="Times New Roman" w:cs="Times New Roman" w:eastAsia="Times New Roman" w:hAnsi="Times New Roman"/>
          <w:sz w:val="18"/>
          <w:szCs w:val="18"/>
          <w:color w:val="auto"/>
        </w:rPr>
        <w:t>”) in connection with a financing effort related to the transactions contemplated by the Business Combination Agreement. The PIPE Private Placement was consummated simultaneously with the Closing. Further, on March 6, 2026, DMY, the Company and Horizon offered to each PIPE Investor the option to elect to satisfy their purchase obligation by purchasing Open-Market Purchase Shares (as defined below) no later than one (1) Business Day prior to the redemption deadline for the special meeting of DMY Shareholders held on March 17, 2026, called to approve the proposals set forth in the proxy statement pursuant to the Model Business Corporation Act, the DMY Articles, and the Business Combination Agreement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which purchases would result in a Reduction Right (as defined below). See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and Structure – PIPE Subscription Agreements with PIPE Investors</w:t>
      </w:r>
      <w:r>
        <w:rPr>
          <w:rFonts w:ascii="Times New Roman" w:cs="Times New Roman" w:eastAsia="Times New Roman" w:hAnsi="Times New Roman"/>
          <w:sz w:val="18"/>
          <w:szCs w:val="18"/>
          <w:color w:val="auto"/>
        </w:rPr>
        <w:t>” for more information about the PIPE Private Placement.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transactions, there were 51,578,134 Company Shares (consisting of 31,833,549 Company Class A Shares and 19,744,585 Company Class B Shares) and 6,044,160 Company Warrants (consisting of 3,159,500 Company Public Warrants and 2,884,660 Private Warrants) outstanding as of March 19,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2026, the Company Class A Shares and Company Public Warrants commenced trading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symbols “HQ” and “HQWWW,”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that appear in this Registration Statement may not sum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which statements involve substantial risks and uncertainties. These forward-looking statements include, among other things, the financial conditions, results of operations, earnings outlook and prospects of the Company for the period following the consummation of the Business Combination, statements regarding estimates and forecasts of performance and projections of market opportunity, expectations and timing related to the success, cost and timing of product development activities, financing and other business milestones.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“will,” “seek,” and other similar words and expressions, but the absence of these words does not mean that a statement is not forward-looking.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Registration Statement and on the current expectations, forecasts and assumptions of the management of the Company, involve a number of judgments, risks and uncertainties and are inherently subject to changes in circumstances and their potential effects and speak only as of the date of such statements. There can be no assurance that future developments will be those that have been anticipated. These forward-looking statements involve a number of risks, uncertainties or other assumptions that may cause actual results or performance to be materially different from those expressed, contemplated or implied by these forward-looking statements. The forward-looking statements contained in this Registration Statement include, but are not limited to, statements about:</w:t>
      </w:r>
    </w:p>
    <w:p>
      <w:pPr>
        <w:spacing w:after="0" w:line="18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maintain the listing of our Company Class A Shares and Company Public Warrants on Nasdaq and operate as a public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inability of the Company to manage growth effectively;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to enhance its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train and retain qualified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potential inability to keep pace with product or marketplace innovations;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marketing and growth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including threatened or implemented tariffs by the U.S. and threatened or implemented tariffs by foreign countries in retaliation;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business;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Registration Statement, including those under the section entitled “Risk Factors.”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are provided for illustrative purposes only and are not guarantees of performance. You should understand that the factors discussed under the heading “Risk Factors” and elsewhere in this Registration Statement could affect our future results, and could cause those results or other outcomes to differ materially from those expressed or implied in the forward-looking statements in this Registration Statement.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risks described under the heading “Risk Factors” are not exhaustive. Other sections of this Registration Statement describe additional factors that could adversely affect the businesses, financial conditions, or our results of operations. New risk factors emerge from time to time and it is not possible to predict all such risk factors, nor can we assess the impact of all such risk factors on our business, or the extent to which any factor or combination of factors may cause our actual results to differ materially from those contained in any forward-looking statements. We undertake no obligations to update or revise publicly any forward-looking statements, whether as a result of new information, future events or otherwise, except as required by law.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ranking and industry data used throughout this Registration Statement,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the heading “Risk Factors” in this Registration 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this Registration Statement contains statements of belief and similar statements that reflect our current beliefs and opinions on the relevant subject. These statements are based upon information available to us as of the date of this Registration Statement,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matters addressed in this Registration Statement and attributable to us or any person acting on our behalf are expressly qualified in their entirety by the cautionary statements contained or referred to in this Registration Statement.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51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512945"/>
                    </a:xfrm>
                    <a:prstGeom prst="rect">
                      <a:avLst/>
                    </a:prstGeom>
                    <a:noFill/>
                  </pic:spPr>
                </pic:pic>
              </a:graphicData>
            </a:graphic>
          </wp:anchor>
        </w:drawing>
        <w:t>SUMMARY OF THE PROSPECTUS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securities.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building software infrastructure to make quantum computers accessible to commercial enterprises and hardware providers. By bridging the gap between today’s hardware and tomorrow’s applications, we seek to equip developers, researchers, and enterprises with the quantum software infrastructure needed to solve real-world problems.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do this, we are following an ambitious plan to create development tools that can automatically accelerate code written for conventional computers on quantum computers. With this differentiated approach, we are developing methods to generate quantum-accelerated solutions — exploiting quantum effects such as superposition and entanglement — from legacy code and conventional software.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Today, our Triple Alpha software is an integrated development environment that gives users access to our development, deployment, and execution infrastructure. It enables developers to create sophisticated, portable, hardware-agnostic quantum programs. Users can code at multiple abstraction levels, compile and optimize programs across many real quantum computers and simulators, and deploy applications as Application Programming Interfaces (“</w:t>
      </w:r>
      <w:r>
        <w:rPr>
          <w:rFonts w:ascii="Times New Roman" w:cs="Times New Roman" w:eastAsia="Times New Roman" w:hAnsi="Times New Roman"/>
          <w:sz w:val="18"/>
          <w:szCs w:val="18"/>
          <w:b w:val="1"/>
          <w:bCs w:val="1"/>
          <w:i w:val="1"/>
          <w:iCs w:val="1"/>
          <w:color w:val="auto"/>
        </w:rPr>
        <w:t>APIs</w:t>
      </w:r>
      <w:r>
        <w:rPr>
          <w:rFonts w:ascii="Times New Roman" w:cs="Times New Roman" w:eastAsia="Times New Roman" w:hAnsi="Times New Roman"/>
          <w:sz w:val="18"/>
          <w:szCs w:val="18"/>
          <w:color w:val="auto"/>
        </w:rPr>
        <w:t>”). We have key collaborative relationships with leading hardware providers including Alice &amp; Bob, Oxford Quantum Circuits Ltd., QuEra Computing Inc., and Rigetti Computing, Inc. (“</w:t>
      </w:r>
      <w:r>
        <w:rPr>
          <w:rFonts w:ascii="Times New Roman" w:cs="Times New Roman" w:eastAsia="Times New Roman" w:hAnsi="Times New Roman"/>
          <w:sz w:val="18"/>
          <w:szCs w:val="18"/>
          <w:b w:val="1"/>
          <w:bCs w:val="1"/>
          <w:i w:val="1"/>
          <w:iCs w:val="1"/>
          <w:color w:val="auto"/>
        </w:rPr>
        <w:t>Rigetti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Triple Alpha is currently in early access with select vendors. We have received inbound interest in early access requests from more than 40 major corporations, 90 universities, 13 quantum software companies, and 18 national labs, government agencies and research organizations.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still in the early stages of scaling its business. Since its inception, we have incurred operating losses. Its ability to generate revenue sufficient to achieve profitability will depend heavily on the further development and commercialization of quantum computers and their software infrastructure.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03"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184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The Quantum Software Opportunity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its emergence in the 1950s, conventional computing has dramatically altered the way humans live, work, and do business. As powerful as conventional computers have become, there are still many calculations they can’t perform.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Unlike conventional computers, which process information as 0s or 1s, quantum computers store and process information as quantum states. Quantum computers use qubits — which can exist simultaneously in a superposition of both 0 and 1. Qubits in superposition can explore different branches of a computation, and quantum computers can use quantum interference to extract information from that superposition to accelerate certain calculations.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these capabilities, quantum computers have the potential to tackle problems that have long been intractable for conventional computers, such as simulating complex physical systems (from molecular dynamics to fluid flow), accelerating training and inference in machine learning, and solving hard optimization problems across many industries.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Horizon’s integrated development environment, aims to set the gold standard for developing and deploying applications on quantum computers. Triple Alpha contains proprietary languages and a compiler, which allow developers to create sophisticated applications that make use of advanced features such as full control flow and dynamic memory allocation in quantum programs, while leveraging Horizon’s deployment and execution infrastructure to run these programs on today’s quantum computers.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Horizon believes that the recent pace of hardware advancement suggests that software development will become the limiting factor for real-world applications of quantum advantage. As quantum computing reaches an inflection point, Horizon believes its product development and go-to-market roadmap can deliver the software infrastructure needed to realize practical quantum advantage. While many current quantum software development tools are locked to specific hardware or limited to expressing only static circuits, Horizon expects that its hardware-agnostic approach will allow users to transfer skills and applications across machines, regardless of the vendor or underlying modality, while still taking advantage of advanced capabilities such as dynamic circuits and pulse-level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Approach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takes a different approach to constructing quantum algorithms. The company views algorithm construction as a compilation problem, so rather than attempting to construct algorithms manually for specific problems, it has developed techniques to enable the automatic construction of quantum algorithms from code written for conventional computers. These techniques include decomposing loops and control-flow into simple primitives that can be recognized and replaced with more efficient quantum subroutines and replacing basic algorithms and data structures with more efficient quantum implementations.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this approach, Horizon aims to make quantum acceleration broadly applicable wherever a classical program exists or can be written, eliminating the need for a hand-crafted quantum algorithm for each new problem. Because some classical programs simply cannot be improved using quantum techniques, this approach is not guaranteed to speed up every program. However, the same is true for quantum algorithm design in general.</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current state of quantum programming is similar to the early days of classical computing. Most tools still require developers to build quantum circuits gate by gate, sometimes making use of libraries or Python generators. Complete, end-to-end workflows — from describing a problem at a high level to running it on hardware — mostly exist only within specific vendor ecosystems and are often not portable. As a result, developers spend much of their time dealing with the mechanics of circuit construction instead of focusing on the intent of the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05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t>This situation is compounded by inconsistent support for capabilities expected in future systems, such as general control flow, evaluation of classical functions over measurement results, and dynamic memory management. Some platforms already offer a subset of these features, like dynamic circuits/conditionals or selective pulse/timing access, but the level of support varies between providers.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adding in abstraction layer by layer, Horizon’s software infrastructure is designed to make quantum programming more accessible. At its base is Hydrogen, a portable, assembly-like language that supports general control flow and concurrent classical computation. It captures core operations expected of an idealized, future quantum computer. Above Hydrogen sits Helium, a BASIC-like language that retains these capabilities while adding higher-level features, including dynamic memory allocation and automatic generation of quantum circuits from C/C++.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Beryllium, Horizon’s object-oriented programming language, sits above Helium. Horizon previewed Beryllium in December 2025 and anticipates making the language available to Triple Alpha’s early access users in the first half of 2026.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introduction of object-oriented quantum programming — native quantum classes, functions, and libraries — Beryllium is expected to allow developers to define reusable quantum data types analogous to those in modern classical languages by letting programmers define what quantum algorithms should do without requiring that they worry about repeated low-level details, thereby empowering them to focus on high-level operations. With Beryllium, Horizon expects that Triple Alpha users will be able to develop and implement quantum algorithms more efficiently, making use of reusable components and data structures.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Beryllium prioritizes reusability and modularity, making it easier for new programs to draw from a growing library of components. In mature software ecosystems, code modularity produces a well-documented network effect: developers create libraries, which in turn lower the effort required to develop new applications, thereby attracting more developers.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layered approach to quantum programming seeks to enable developers to work at their preferred level of abstraction: those working on algorithm design can start at a higher level compared to those focused on device characterization. Across these layers, each language supports user-defined instruction sets with both gate- and pulse-level control. This design lets teams leverage higher-level abstractions while still expressing low-level behavior — whether reasoning about abstract quantum information processing or engaging directly with the physics of specific processors.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is developing these layers incrementally to seek to provide a stable platform for future integration with its quantum algorithm synthesis techniques, with the ultimate goal of enabling developers to write complete quantum programs using familiar classical languages.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seeks to enable developers to write, compile, and deploy quantum programs to a variety of remote quantum processors and simulators without needing to own or manage the underlying hardware. The company has taken a cloud-first approach, where the end point of software development is a deployed web API that manages the execution of the quantum program. This approach is intended to allow developers to seamlessly integrate their quantum programs with a wide range of classical software technologies, with those programs being hosted and served through Horizon’s infrastructure.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also operates its own hardware testbed. Offering both tools and hardware as a service simplifies the user experience, enables seamless deployment, and ensures that Horizon’s platform remains hardware-agnostic and scalable, empowering a broad base of developers to engage with quantum computing.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Horizon’s Technology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is designing tools that aim to set a new standard for quantum software development. The company’s core approach has been to develop the software infrastructure for the development, deployment, and execution of quantum programs, with significant technological breakthroughs achieved in the development and execution layers.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Horizon’s integrated development environment, simplifies the process of creating quantum programs by enabling developers to code at various levels of abstraction, using Horizon’s proprietary languages. Most traditional quantum programming frameworks constrain programmers to working with static circuits, which makes algorithm design difficult, limiting what developers can express. Triple Alpha removes this constraint with its Turing-complete languages.</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Beryllium is an object-oriented language that is expected to allow developers to use simple classical and quantum building blocks to progressively create richer, higher-level structures by reusing and extending what they have already defined. With Beryllium, developers can think in terms of information structure rather than qubits and low-level processing details. By making use of reusable components and data structures, Horizon believes that developers will able to focus on what quantum algorithms should do without needing to worry about repeated low-level details, which enables more efficient development and implementation of quantum algorithms.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6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967980"/>
                    </a:xfrm>
                    <a:prstGeom prst="rect">
                      <a:avLst/>
                    </a:prstGeom>
                    <a:noFill/>
                  </pic:spPr>
                </pic:pic>
              </a:graphicData>
            </a:graphic>
          </wp:anchor>
        </w:drawing>
        <w:t>By shifting the focus from how information is physically represented and processed in a quantum computer to how it can be structured and transformed, Beryllium is designed to raise the level of abstraction, reducing the need to manage quantum processing directly and making quantum software development more accessible to programmers without deep quantum expertise.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Triple Alpha compiles Beryllium to Helium. Helium is a BASIC-like language that simplifies the development of complex quantum programs by allowing classical and quantum operations to be expressed together in a single language. It introduces familiar control structures — loops, conditionals, subroutines — and supports concurrent classical/quantum flows. Because Helium is a Turing-complete language, developers can express algorithms of arbitrary complexity — including ones whose runtime can’t be determined in advance — unlocking a far broader class of quantum applications than traditional quantum programming framework.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Deployment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deployment infrastructure seeks to provide the bridge between quantum programs and front-end technologies. It follows design principles common in modern cloud infrastructure, providing a familiar framework for users. Once a quantum program has been compiled with Triple Alpha, it can be packaged and deployed as a web API. Through these deployed endpoints, users can send encoded inputs, interact with running programs, and retrieve outputs as the program is executed.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Horizon’s deployment infrastructure, developers can integrate quantum functionality directly into other applications, whether through Python scripts, web interfaces, or even Excel macros, allowing developers to call and interact with quantum programs from familiar environments. Each deployed API includes authentication to ensure only authorized users can access or execute a program. The infrastructure also supports session management for deployed programs, maintaining isolated execution environments for multiple users or concurrent runs. This guarantees that one user’s interaction with a program does not interfere with another’s — a necessity for working in multi-user or collaborative settings.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Horizon’s execution infrastructure can run programs containing loops and recursive functions, runtime user inputs, mid-circuit measurements, and even calls to classical code or networked processes, capabilities that remove many of the rigid constraints of traditional circuit-based programming approaches. Many of these advanced features are unavailable through other tools on contemporary hardware systems.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Conventional programs rely on constructs like “while” loops and recursive functions, running until a solution is found — or indefinitely, if one isn’t. They aren’t a simple list of sequential instructions, and their runtime can’t always be predetermined. However, most of today’s quantum hardware can only execute fixed-length quantum circuits — programs whose structures must be known in advance, with zero or limited native support for dynamic runtime control, such as loops, recursion, or concurrent classical computation.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Horizon’s execution infrastructure seeks to overcome this limitation with full control flow support, making it possible to execute complex programs on quantum devices that lack native support for general control flow. It extends the capabilities of quantum processors, enabling them to perform beyond their built-in limitations that prohibit runtime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Testbed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is the first quantum software company to own and operate its own quantum computer. The company announced plans to establish an on-site testbed with capacity for multiple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is building the software infrastructure to power the development and deployment of applications using quantum computing. At the core of this effort are tools built to help software developers make the most out of quantum computers. The company is creating the kind of software infrastructure familiar to classical developers — from high-level programming languages and optimizing compilers to the system software and runtimes needed to execute complex programs.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Horizon believes that this foundation positions it to serve an expanding market. We expect the total addressable market for quantum computing to grow rapidly in the coming decade, driven by both public and private investment and the emergence of quantum advantage. We believe that the quantum software segment will drive commercial adoption of quantum hardware, Horizon believes it is strategically placed to capitalize on this opportunity. Software infrastructure has proven to be important to creating value across every major computing wave, and, as history shows, the companies that shaped this infrastructure have tended to capture outsized value. Windows defined the PC era. iOS and Android did the same for mobile. AWS transformed web applications. VMware powered the modern data center, and Nvidia CUDA unlocked GPU computing. Horizon’s Triple Alpha platform aims to play that same foundational role for quantum computing.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790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8790940"/>
                    </a:xfrm>
                    <a:prstGeom prst="rect">
                      <a:avLst/>
                    </a:prstGeom>
                    <a:noFill/>
                  </pic:spPr>
                </pic:pic>
              </a:graphicData>
            </a:graphic>
          </wp:anchor>
        </w:drawing>
        <w:t>Because Triple Alpha is expected to connect developers, end-users, and hardware providers, Horizon is positioned to sit at the heart of the quantum computing ecosystem, enabling the company to establish its product as the software infrastructure of choice for the industry. To advance this vision, Horizon’s multi-faceted business strategy focuses on product development, market penetration, and ecosystems collaboration. The company is pursuing three core strategies, through which it intends to capture market share. These are:</w:t>
      </w:r>
    </w:p>
    <w:p>
      <w:pPr>
        <w:spacing w:after="0" w:line="178" w:lineRule="exact"/>
        <w:rPr>
          <w:sz w:val="20"/>
          <w:szCs w:val="20"/>
          <w:color w:val="auto"/>
        </w:rPr>
      </w:pPr>
    </w:p>
    <w:p>
      <w:pPr>
        <w:jc w:val="both"/>
        <w:ind w:left="960" w:right="20" w:hanging="320"/>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Solving the Applications Bottleneck</w:t>
      </w:r>
      <w:r>
        <w:rPr>
          <w:rFonts w:ascii="Times New Roman" w:cs="Times New Roman" w:eastAsia="Times New Roman" w:hAnsi="Times New Roman"/>
          <w:sz w:val="18"/>
          <w:szCs w:val="18"/>
          <w:color w:val="auto"/>
        </w:rPr>
        <w:t>: Triple Alpha is designed to tackle the most significant barrier to adoption — the difficulty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creating useful, portable quantum applications. By making quantum programming accessible to millions of conventional software developers, Horizon expects to dramatically expand the potential developer base and accelerate the discovery of practical use cases for quantum computing.</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6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Building a Strategic Ecosystem</w:t>
      </w:r>
      <w:r>
        <w:rPr>
          <w:rFonts w:ascii="Times New Roman" w:cs="Times New Roman" w:eastAsia="Times New Roman" w:hAnsi="Times New Roman"/>
          <w:sz w:val="18"/>
          <w:szCs w:val="18"/>
          <w:color w:val="auto"/>
        </w:rPr>
        <w:t>: Rather than competing with hardware providers, Horizon seeks to engage with them.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expects collaborations with leading hardware companies, control systems manufacturers, and software to act as a powerful distribution channel because these providers could embed Horizon software within their ecosystems, providing direct access to their customers.</w:t>
      </w:r>
    </w:p>
    <w:p>
      <w:pPr>
        <w:spacing w:after="0" w:line="173" w:lineRule="exact"/>
        <w:rPr>
          <w:rFonts w:ascii="Times New Roman" w:cs="Times New Roman" w:eastAsia="Times New Roman" w:hAnsi="Times New Roman"/>
          <w:sz w:val="18"/>
          <w:szCs w:val="18"/>
          <w:color w:val="auto"/>
        </w:rPr>
      </w:pPr>
    </w:p>
    <w:p>
      <w:pPr>
        <w:jc w:val="both"/>
        <w:ind w:left="960" w:right="20" w:hanging="320"/>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Demonstrating Value</w:t>
      </w:r>
      <w:r>
        <w:rPr>
          <w:rFonts w:ascii="Times New Roman" w:cs="Times New Roman" w:eastAsia="Times New Roman" w:hAnsi="Times New Roman"/>
          <w:sz w:val="18"/>
          <w:szCs w:val="18"/>
          <w:color w:val="auto"/>
        </w:rPr>
        <w:t>: Horizon plans to establish an applications team, which it expects to be a key driver of growth over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team will focus on developing quantum algorithms to demonstrate practical quantum advantage for a small number of high-value problems. The team will work directly with quantum hardware vendors and enterprise customers to identify, develop, and showcase real-world applications with the goal of delivering a clear quantum advantage, driving the adoption of applications built on top of the company’s software infrastructure.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has two primary paths to revenue: usage-based pricing on deployed applications and software licensing for on-premises deployment. When customers run applications through the company’s infrastructure (e.g. an API call or quantum job), the company plans to charge them based on usage. This model scales directly with customer activity, mirroring the familiar economics of traditional cloud and SaaS recurring business models.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organizations that require on-premises control over their systems — such as research institutions, government agencies, or enterprises operating their own quantum hardware — Horizon plans to offer annual software licensing agreements that allow customers to deploy the same core technologies on their own servers or hardware.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Together, these complementary revenue streams are expected to form a hybrid business model that combines recurring cloud usage fees with longer-term enterprise subscription licensing. The result is anticipated to be a structure that provides scalability, visibility and predictability while enabling Horizon to serve cloud-native users as well as customers with specialized infrastructure needs.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hosting the deployment and execution of customer applications, Horizon can price its services in proportion to the value they create for developers, as reflected in application usage. When developers build and deploy their quantum programs using the company’s infrastructure, those workloads run on its systems rather than simply being compiled there. This setup positions Horizon to measure usage — such as the number of API calls or quantum jobs executed — and charge accordingly, resulting in a value-based model where revenue scales as customers make more use of the company’s technology to power their applications and as those applications gain adoption.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these core streams, Horizon’s hardware testbed creates a third potential revenue source, enabling the company to offer access to its own quantum systems for running user jobs under a Quantum Computing as a Service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Several alternate approaches to quantum programming exist, including control-systems programming (e.g. QUA and LabOne Q), pulse-level frameworks (e.g. OpenPulse and Quil-T), gate-level quantum programming languages (e.g. Qiskit, PyQuil, and Cirq), model-based synthesis (Classiq’s approach), and domain libraries (e.g. OpenFermion, TensorFlow Quantum, and PennyLane).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Triple Alpha’s advanced capabilities — such as dynamic memory management and circuit synthesis from classical code — further differentiate it from competing quantum programming approaches. With these capabilities, it provides a higher level of abstraction than most approaches while still supporting low-level control when needed. Horizon also holds patents on techniques that automatically construct accelerated quantum algorithms from classical code — moving beyond simply translating the instructions to a quantum-compatible form to actually generating quantum-accelerated implementations of the code’s functionality (see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and our industry are subject to significant risks. You should carefully consider all of the information set forth in this prospectus and in our other filings with the SEC, including the following risk factors, in evaluating our business. If any of the following risks actually occur, our business, financial condition, results of operations, and growth prospects would likely be materially and adversely affected. This prospectus also contains forward-looking statements that involve risks and uncertainties. See the section entitled “Forward-Looking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91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8910955"/>
                    </a:xfrm>
                    <a:prstGeom prst="rect">
                      <a:avLst/>
                    </a:prstGeom>
                    <a:noFill/>
                  </pic:spPr>
                </pic:pic>
              </a:graphicData>
            </a:graphic>
          </wp:anchor>
        </w:drawing>
        <w:t>Recent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19, 2026, the Company consummated the previously announced business combination with DMY, pursuant to the Business Combination Agreement by and among DMY, the Company, Merger Sub 1, Merger Sub 2, and Horizon.</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Amalgamation Effective Time, the Amalgamation occurred, with Horizon surviving the Amalgamation as a wholly-owned subsidiary of the Company and the outstanding shares of Horizon being converted into the right to receive shares of the Company’s Class A Shares or the right to receive shares of the Company’s Class B Shares, as the case may be. Subsequent to the Amalgamation, the Merger occurred, with DMY surviving the Merger as a wholly-owned subsidiary of the Company and the outstanding securities of DMY being converted into the right to receive Company Class A Shares and/or Company Warrants of the Company.</w:t>
      </w:r>
    </w:p>
    <w:p>
      <w:pPr>
        <w:spacing w:after="0" w:line="1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Business Combination Agreement, the aggregate merger consideration amount paid to the shareholders of Horizon is $508,384,000 and was paid entirely in newly issued Company Class A Shares and Company Class B Ordinary, at the Closing.</w:t>
      </w:r>
    </w:p>
    <w:p>
      <w:pPr>
        <w:spacing w:after="0" w:line="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(a) each Horizon Ordinary Share was automatically converted into the right to receive a number of Company Shares equal to the Exchange Ratio, on the terms and subject to the conditions of the Business Combination Agreement (b) the shares of Horizon that were held by Joseph Fitzsimons, the Chief Executive Officer and Chairman of the Board of Horizon and the Company, that were issued and outstanding immediately prior to the Amalgamation Effective Time were cancelled and converted into the right to receive such number of Company Class B Shares equal to the Exchange Ratio and in accordance with the Business Combination Agreement, with each such Company Class B Ordinary Share entitling each holder thereof to three (3) votes for each Company Class B Ordinary Share held (c) each SAFE was canceled and automatically deemed represent the right to receive a number of Company Class A Shares equal to the Exchange Ratio multiplied by the number of Horizon ordinary shares (on an as-converted basis) subject to such SAFE, and (d) each Horizon Option became a Company Option containing the same terms, conditions, vesting and other provisions as are currently applicable to such Horizon Options, provided that each Company Option are exercisable for the number of Company Class A Shares equal to the Exchange Ratio multiplied by the number of Horizon Ordinary Shares subject to the Horizon Option as of immediately prior to the Amalgamation Effective Time, rounded down to the nearest whole share, at an exercise price equal to the per share exercise price of the Horizon Option divided by the Exchange Ratio, rounded up to the nearest whole cent.</w:t>
      </w:r>
    </w:p>
    <w:p>
      <w:pPr>
        <w:spacing w:after="0" w:line="109"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After the completion of the Amalgamation and prior to the Merger, (1) DMY effected the redemption of Public Shares that were submitted for redemption and not withdrawn, (2) each outstanding DMY Class B Shares underwent the Class B Share Conversion, and (3) each DMY Unit underwent the Unit Separation and the holder of each DMY Unit was deemed to hold one DMY Class A Share and one-half of one DMY Public Warrants.</w:t>
      </w:r>
    </w:p>
    <w:p>
      <w:pPr>
        <w:spacing w:after="0" w:line="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(a) each outstanding DMY Class A Share (excluding any Public Shares which were redeemed) were automatically converted into the right to receive one Company Class A Ordinary Share, (b) each outstanding whole DMY Public Warrant (including DMY Public Warrants issued upon the Unit Separation) were assumed as Company Public Warrants, and (c) each outstanding DMY Private Warrants was assumed for Sponsor Warrants.</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4, 2025 and March 6, 2026, the Company entered into PIPE Subscription Agreements with DMY, Horizon and PIPE Investors, pursuant to which, among other things, the PIPE Investors agreed to subscribe for and purchase, and the Company agreed to issue and sell to the PIPE Investors, an aggregate of 9,196,021 Company Class A Shares, at a purchase price equal to $11.82 per share (the “PIPE Private Placement”) in connection with a financing effort related to the transactions contemplated by the Business Combination Agreement. The PIPE Private Placement was consummated simultaneously with the closing of the Business Combination. Further, on March 6, 2026, DMY, the Company and Horizon offered to each PIPE Investor the option to elect to satisfy their PIPE Investment by purchasing Open-Market Purchase Shares no later than one (1) Business Day prior to the redemption deadline for the Special Meeting, which purchases would result in a Reduction Right.</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foregoing transactions, there were 51,578,134 Company Shares (consisting of 31,833,549 Company Class A Shares and 19,744,585 Company Class B Shares) and 6,044,160 Warrants (consisting of 3,159,500 Company Public Warrants and 2,884,660 Sponsor Warrants) outstanding as of the date of this prospectus.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diagram depicts the organizational structure of the Company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122"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42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042150"/>
                    </a:xfrm>
                    <a:prstGeom prst="rect">
                      <a:avLst/>
                    </a:prstGeom>
                    <a:noFill/>
                  </pic:spPr>
                </pic:pic>
              </a:graphicData>
            </a:graphic>
          </wp:anchor>
        </w:drawing>
        <w:t>IonQ Quantum Systems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31, 2026, Holdco entered into a Quantum Systems Agreement (the “</w:t>
      </w:r>
      <w:r>
        <w:rPr>
          <w:rFonts w:ascii="Times New Roman" w:cs="Times New Roman" w:eastAsia="Times New Roman" w:hAnsi="Times New Roman"/>
          <w:sz w:val="18"/>
          <w:szCs w:val="18"/>
          <w:b w:val="1"/>
          <w:bCs w:val="1"/>
          <w:color w:val="auto"/>
        </w:rPr>
        <w:t>IonQ Agreement</w:t>
      </w:r>
      <w:r>
        <w:rPr>
          <w:rFonts w:ascii="Times New Roman" w:cs="Times New Roman" w:eastAsia="Times New Roman" w:hAnsi="Times New Roman"/>
          <w:sz w:val="18"/>
          <w:szCs w:val="18"/>
          <w:color w:val="auto"/>
        </w:rPr>
        <w:t>”) with IonQ. The IonQ Agreement governs a strategic, long-term relationship under which IonQ will design, procure, install, and support a dedicated trapped-ion quantum computing system for Holdco and provide associated compute, consulting, training, and technical support services, primarily on an on-site and exclusive basis. Pursuant to the IonQ Agreement, IonQ will procure, construct, install, and verify a trapped-ion quantum computing system meeting specified performance benchmarks and install it in a data center designated and operated by Holdco. Upon acceptance, title to the physical system transfers to Holdco, with IonQ providing maintenance, technical support, quarterly technical reports, and consulting and training services. Both Holdco and IonQ shall retain ownership of their respective intellectual property rights, including their own technology and related software. Holdco shall own all inputs and computation results, while IonQ shall retain ownership of the IonQ technology and related software specifically licensed under the IonQ Agreement only, granting Holdco limited licenses for use during the term. The total consideration to be paid by Holdco under the initial statement of work is US$35 million. Holdco may choose to exercise a one-year extension for additional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jc w:val="both"/>
        <w:ind w:left="960" w:right="20" w:hanging="320"/>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 significant amount of cash as we invest in ongoing research and development and business operations. Additionally, we may need additional capital sooner than anticipated to pursue our business objectives, respond to business opportunities, challenges or unforeseen circumstances and we cannot be sure that additional financing will be available. If we are unable to raise additional funding when needed, we may be required to delay, limit or substantially reduce our development efforts.</w:t>
      </w:r>
    </w:p>
    <w:p>
      <w:pPr>
        <w:spacing w:after="0" w:line="179"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are in our very early stages and have a limited operating history, which makes it difficult to forecast the future results of our operations. It is also possible quantum computing might never become commercially viable or embraced. Our technology roadmap, including the anticipated milestones and timing thereof, may change.</w:t>
      </w:r>
    </w:p>
    <w:p>
      <w:pPr>
        <w:spacing w:after="0" w:line="202" w:lineRule="exact"/>
        <w:rPr>
          <w:rFonts w:ascii="Times New Roman" w:cs="Times New Roman" w:eastAsia="Times New Roman" w:hAnsi="Times New Roman"/>
          <w:sz w:val="18"/>
          <w:szCs w:val="18"/>
          <w:i w:val="1"/>
          <w:iCs w:val="1"/>
          <w:color w:val="auto"/>
        </w:rPr>
      </w:pPr>
    </w:p>
    <w:p>
      <w:pPr>
        <w:jc w:val="both"/>
        <w:ind w:left="960" w:right="20" w:hanging="320"/>
        <w:spacing w:after="0" w:line="261"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current business model is built on the assumption that our quantum algorithm synthesis technology can effectively convert classical code into practical, quantum-accelerated applications. However, there is no guarantee that our toolchain will consistently generate quantum applications that outperform classical solutions. If our software cannot deliver a meaningful performance advantage, the market for our products and services may not develop as we anticipate which would materially harm our business and financial prospects.</w:t>
      </w:r>
    </w:p>
    <w:p>
      <w:pPr>
        <w:spacing w:after="0" w:line="179" w:lineRule="exact"/>
        <w:rPr>
          <w:rFonts w:ascii="Times New Roman" w:cs="Times New Roman" w:eastAsia="Times New Roman" w:hAnsi="Times New Roman"/>
          <w:sz w:val="18"/>
          <w:szCs w:val="18"/>
          <w:i w:val="1"/>
          <w:iCs w:val="1"/>
          <w:color w:val="auto"/>
        </w:rPr>
      </w:pPr>
    </w:p>
    <w:p>
      <w:pPr>
        <w:jc w:val="both"/>
        <w:ind w:left="960" w:right="20" w:hanging="320"/>
        <w:spacing w:after="0" w:line="261"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rely on third-party quantum hardware providers to deliver the compute necessary for our software to function. The pace of hardware development, including factors like qubit counts, error rates and availability, is outside of our control. If the underlying hardware ecosystem does not mature as quickly as we expect, or if a major hardware provider fails, it could create delays for our business and severely impact our ability to deliver solutions to potential customers.</w:t>
      </w:r>
    </w:p>
    <w:p>
      <w:pPr>
        <w:spacing w:after="0" w:line="179" w:lineRule="exact"/>
        <w:rPr>
          <w:rFonts w:ascii="Times New Roman" w:cs="Times New Roman" w:eastAsia="Times New Roman" w:hAnsi="Times New Roman"/>
          <w:sz w:val="18"/>
          <w:szCs w:val="18"/>
          <w:i w:val="1"/>
          <w:iCs w:val="1"/>
          <w:color w:val="auto"/>
        </w:rPr>
      </w:pPr>
    </w:p>
    <w:p>
      <w:pPr>
        <w:jc w:val="both"/>
        <w:ind w:left="960" w:right="20" w:hanging="320"/>
        <w:spacing w:after="0" w:line="266"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invest significantly in research and development, and to the extent our research and development investments do not translate into new capabilities or material enhancements to Triple Alpha, or any new platform we may create, or if we do not use those investments efficiently, our business and results of operations would be harmed.</w:t>
      </w:r>
    </w:p>
    <w:p>
      <w:pPr>
        <w:spacing w:after="0" w:line="175" w:lineRule="exact"/>
        <w:rPr>
          <w:rFonts w:ascii="Times New Roman" w:cs="Times New Roman" w:eastAsia="Times New Roman" w:hAnsi="Times New Roman"/>
          <w:sz w:val="18"/>
          <w:szCs w:val="18"/>
          <w:i w:val="1"/>
          <w:iCs w:val="1"/>
          <w:color w:val="auto"/>
        </w:rPr>
      </w:pPr>
    </w:p>
    <w:p>
      <w:pPr>
        <w:ind w:left="960" w:right="20" w:hanging="320"/>
        <w:spacing w:after="0" w:line="282" w:lineRule="auto"/>
        <w:tabs>
          <w:tab w:leader="none" w:pos="9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have a history of operating losses and expect to incur significant expenses and continuing losses for the foreseeable future. In addition, we have never generated any material revenue from product sales and may never be profitable.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64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Risks Related to Litigation and Government Regulation</w:t>
      </w:r>
    </w:p>
    <w:p>
      <w:pPr>
        <w:spacing w:after="0" w:line="227" w:lineRule="exact"/>
        <w:rPr>
          <w:sz w:val="20"/>
          <w:szCs w:val="20"/>
          <w:color w:val="auto"/>
        </w:rPr>
      </w:pPr>
    </w:p>
    <w:p>
      <w:pPr>
        <w:jc w:val="both"/>
        <w:ind w:left="960" w:hanging="320"/>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product liability claims, which could harm our financial condition and liquidity if we are not able to successfully defend or insure against such claims.</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and regulations, such as tariffs, trade protection measures and national security concerns may limit our ability to provide products and services to our future customers and obtain products from our suppliers, which could have a material adverse impact on our business operations, financial results and growth plans.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227" w:lineRule="exact"/>
        <w:rPr>
          <w:sz w:val="20"/>
          <w:szCs w:val="20"/>
          <w:color w:val="auto"/>
        </w:rPr>
      </w:pPr>
    </w:p>
    <w:p>
      <w:pPr>
        <w:jc w:val="both"/>
        <w:ind w:left="960" w:hanging="320"/>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maintain and protect our intellectual property rights and proprietary information such as if the scope of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patent infringement and other intellectual property claims that could be costly to defend, result in injunctions and significant damage awards or other costs. If third parties claim that we infringe upon or otherwise violate their intellectual property rights, our business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Securities</w:t>
      </w:r>
    </w:p>
    <w:p>
      <w:pPr>
        <w:spacing w:after="0" w:line="227" w:lineRule="exact"/>
        <w:rPr>
          <w:sz w:val="20"/>
          <w:szCs w:val="20"/>
          <w:color w:val="auto"/>
        </w:rPr>
      </w:pPr>
    </w:p>
    <w:p>
      <w:pPr>
        <w:jc w:val="both"/>
        <w:ind w:left="960" w:hanging="320"/>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the Business Combination, our only significant asset is our ownership of Horizon, and such ownership may not be sufficient to pay dividends or make distributions or obtain loans to enable us to pay any dividends on our Company Shares, pay our expenses or satisfy other financial obligations.</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and operating a U.S. public company.</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pay cash dividends in the foreseeable future.</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financial position and results of operations may differ materially from the unaudited pro forma financial information included in this prospectus.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may face difficulties enforcing foreign court judgments against us.</w:t>
      </w:r>
    </w:p>
    <w:p>
      <w:pPr>
        <w:spacing w:after="0" w:line="22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Joseph Fitzsimons, our chief executive officer and Chairman of our Board, beneficially own approximately 38.3% of our outstanding Company Shares and approximately 65.0% of the voting control of the Company as of the Closing of the Business Combination.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024" w:right="479" w:bottom="1440" w:gutter="0" w:footer="0" w:header="0"/>
        </w:sectPr>
      </w:pPr>
    </w:p>
    <w:bookmarkStart w:id="21" w:name="page22"/>
    <w:bookmarkEnd w:id="21"/>
    <w:p>
      <w:pPr>
        <w:ind w:left="960" w:hanging="32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710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7710805"/>
                    </a:xfrm>
                    <a:prstGeom prst="rect">
                      <a:avLst/>
                    </a:prstGeom>
                    <a:noFill/>
                  </pic:spPr>
                </pic:pic>
              </a:graphicData>
            </a:graphic>
          </wp:anchor>
        </w:drawing>
        <w:t>Future sales of our securities or warrants exercisable for our Company Class A Shares may depress our stock price.</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trading market for our Company Class A Shares and Company Public Warrants may not develop, which may limit your ability to sell our Company Class A Shares or Company Public Warrants.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and the value of our securities may decline.</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unexpired Company Warrants prior to their exercise at a time that is disadvantageous to you, thereby making your Company Warrants worthless.</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Warrants will be recognized and accounted for as derivative liabilities in accordance with ASC 815 and will be recorded at fair value upon issuance with changes in fair value each period reported in earnings, which may have an adverse effect on the market price of the Company Class A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Investments in Singapore Companies</w:t>
      </w:r>
    </w:p>
    <w:p>
      <w:pPr>
        <w:spacing w:after="0" w:line="227" w:lineRule="exact"/>
        <w:rPr>
          <w:sz w:val="20"/>
          <w:szCs w:val="20"/>
          <w:color w:val="auto"/>
        </w:rPr>
      </w:pPr>
    </w:p>
    <w:p>
      <w:pPr>
        <w:ind w:left="960" w:hanging="320"/>
        <w:spacing w:after="0"/>
        <w:tabs>
          <w:tab w:leader="none" w:pos="9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Singapore take-over laws contain provisions which may vary from those in other jurisdictions.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was founded in 2018 in Singapore to close the gap between quantum hardware and application. In November 2018, Horizon successfully secured seed funding. In March 2019, Horizon hired its first three employees and began operations. In early 2020, Horizon was one of the first external companies to be granted access to Rigetti’s pulse-level programming interface Quil-T, which Horizon used to demonstrate proprietary techniques for rapidly characterizing quantum processors and reducing errors.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Horizon demonstrated key parts of its compile chain including automatic recognition of opportunities for quantum acceleration in a subset of the MATLAB programming language. In 2022, Horizon became the first start-up to host a node on Singapore’s National Quantum-Safe Network. This node enabled a collaboration with the AWS Center for Quantum Networking, Fortinet Inc., and the Centre for Quantum Technologies at the National University of Singapore to demonstrate a point-to-point, quantum-secured communications link over approximately 16 kilometers. That year, the company also introduced new techniques for enabling general control flow execution on quantum computers that lack native support for feed-forward.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2023, Horizon opened a second office in Dublin, Ireland. Late that year, the company launched early access to Triple Alpha, its integrated development environment, and implemented a first demonstration of interactive quantum computing enabled by the system.</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2024, Horizon unveiled new capabilities in Triple Alpha, including support for dynamic quantum memory allocation, measurement-based quantum computing, and pulse-level control, along with a powerful new approach to program optimization that works for arbitrary instruction sets. It also initiated development of a hardware testbed at the Singapore headquarters. Designed to host and tightly integrate quantum computers with the Triple Alpha platform, the testbed takes a modular multi-vendor approach, allowing Horizon to deeply integrate its software infrastructure with different hardware configurations and to upgrade the systems over time.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Horizon completed the assembly and integration of a fully operational quantum computer in its Singapore testbed. We also extended the capabilities of its software stack, introducing pulse optimization, which enables programmers to deploy any gate with pulses, and real-time execution, which is facilitated by compiling programs to control systems code. At the end of the year, Horizon previewed Beryllium, its object-oriented programming language.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19, 2026, the Company consummated the previously announced Business Combination with DMY, pursuant to the Business Combination Agreement by and among DMY, the Company, Merger Sub 1, the Merger Sub 2, and Horizon. See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above and “</w:t>
      </w:r>
      <w:r>
        <w:rPr>
          <w:rFonts w:ascii="Times New Roman" w:cs="Times New Roman" w:eastAsia="Times New Roman" w:hAnsi="Times New Roman"/>
          <w:sz w:val="18"/>
          <w:szCs w:val="18"/>
          <w:i w:val="1"/>
          <w:iCs w:val="1"/>
          <w:color w:val="auto"/>
        </w:rPr>
        <w:t>Corporate History and Structure – Business Combination with DMY</w:t>
      </w:r>
      <w:r>
        <w:rPr>
          <w:rFonts w:ascii="Times New Roman" w:cs="Times New Roman" w:eastAsia="Times New Roman" w:hAnsi="Times New Roman"/>
          <w:sz w:val="18"/>
          <w:szCs w:val="18"/>
          <w:color w:val="auto"/>
        </w:rPr>
        <w:t>” below for a more detailed description of the Business Combination.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is a founding partner of both the Southeast Asia Quantum Industry Association and the Quantum Business Network in APAC, and of the Trinity Quantum Alliance in Ireland. The company has also joined industry bodies like the Quantum Industrial Standard Association of Korea and the European Quantum Industry Consortium.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53"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473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5473065"/>
                    </a:xfrm>
                    <a:prstGeom prst="rect">
                      <a:avLst/>
                    </a:prstGeom>
                    <a:noFill/>
                  </pic:spPr>
                </pic:pic>
              </a:graphicData>
            </a:graphic>
          </wp:anchor>
        </w:drawing>
        <w:t>Emerging Growth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(i) following the fifth anniversary of the consummation of the Business Combination, (ii) in which we have total annual gross revenue of at least US$1.235 billion, or (iii) in which we are deemed to be a large accelerated filer, which means the market value of Class A Shares that are held by non-affiliates exceeds US$700 million as of the last business day of its most recently completed second fiscal quarter; and (2) the date on which we have issued more than US$1.00 billion in non-convertible debt securities during the prior three-year period. References herein to “emerging growth company” have the meaning associated with it in the JOBS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permitted to follow the corporate governance practices of our home country, Singapore, in lieu of the corporate governance standards of Nasdaq applicable to U.S. domestic companies. For example, we are not required to have a majority of the board consisting of independent directors nor have a compensation committee or a nominating and corporate governance committee consisting entirely of independent directors. We intend to follow our home country’s corporate governance practices as long as we remain a foreign private issuer. As a result, our shareholders may not have the same protection afforded to shareholders of U.S. domestic companies that are subject to Nasdaq corporate governance requirements. As a foreign private issuer, we are also subject to reduced disclosure requirements and are exempt from certain provisions of the U.S. securities rules and regulations applicable to U.S. domestic issuers such as the rules regulating solicitation of proxies and certain insider reporting and short-swing profit rules.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03" w:right="4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9459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9459595"/>
                    </a:xfrm>
                    <a:prstGeom prst="rect">
                      <a:avLst/>
                    </a:prstGeom>
                    <a:noFill/>
                  </pic:spPr>
                </pic:pic>
              </a:graphicData>
            </a:graphic>
          </wp:anchor>
        </w:drawing>
        <w:t>THE OFFERING</w:t>
      </w:r>
    </w:p>
    <w:p>
      <w:pPr>
        <w:spacing w:after="0" w:line="146" w:lineRule="exact"/>
        <w:rPr>
          <w:sz w:val="20"/>
          <w:szCs w:val="20"/>
          <w:color w:val="auto"/>
        </w:rPr>
      </w:pPr>
    </w:p>
    <w:p>
      <w:pPr>
        <w:ind w:left="100"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Share Capital” section of this prospectus contains a more detailed description of the Company Shares.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Company Shares</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Pursuant to Exercise of Company</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Shares issued and</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31,833,549 Company Class A Shares and 19,744,585 Company Class B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prior to exercise of all</w:t>
            </w:r>
          </w:p>
        </w:tc>
        <w:tc>
          <w:tcPr>
            <w:tcW w:w="6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Warrants</w:t>
            </w:r>
          </w:p>
        </w:tc>
        <w:tc>
          <w:tcPr>
            <w:tcW w:w="6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Shares issuable upon</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6,044,160 Company Class A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all Company Warrants</w:t>
            </w:r>
          </w:p>
        </w:tc>
        <w:tc>
          <w:tcPr>
            <w:tcW w:w="6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registered herein</w:t>
            </w:r>
          </w:p>
        </w:tc>
        <w:tc>
          <w:tcPr>
            <w:tcW w:w="6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 will receive up to an aggregate of US$ 69,507,840 from the exercise of all Company Warrants, assuming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exercise in full of all of the Company Warrants for cash. The exercise price of the Company Warrants 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US$11.50 per share, subject to adjustment as described herein. The closing price of our Company Class A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Nasdaq on April 20, 2026 was US$13.05 per share. The likelihood that warrant holders will exercise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 Warrants and any cash proceeds that we would receive is dependent upon the market price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Company Class A Shares. Based on the closing price for our Company Class A Shares at US$13.05 on April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2026, which is greater than the exercise price of US$11.50 per share pursuant to the terms of the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Warrants, we believe warrant holders may exercise their Company Warrants, and, if the Company Warrants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exercised on a cash basis, we will receive proceeds from the exercise of Company Warrants. To the extent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 receive any net proceeds in connection with the exercise of Company Warrants, we expect to use such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proceeds for general corporate purposes. See the section titled “Use of Proceeds” appearing elsewhere in this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prospectus for more information.</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Resale of Company Class A Shares</w:t>
            </w:r>
          </w:p>
        </w:tc>
        <w:tc>
          <w:tcPr>
            <w:tcW w:w="6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and Company Warrants</w:t>
            </w:r>
          </w:p>
        </w:tc>
        <w:tc>
          <w:tcPr>
            <w:tcW w:w="6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Shares offered by the Selling</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 to 52,966,280 Company Class A Shares, including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Securityholders consisting of</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i.</w:t>
            </w:r>
          </w:p>
        </w:tc>
        <w:tc>
          <w:tcPr>
            <w:tcW w:w="7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19,957,530 Company Class A Shares held by certain Selling Securityholders;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7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1,163,484 Sponsor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iii.  9,196,021 Company Class A issued to PIPE Investors pursuant to various subscription agreements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entered into on December 4, 2025 and March 6,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iv.  2,884,660 Company Class A Shares underlying the Company Private Warrants;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  19,744,585 Company Class A Shares issuable upon the conversion of the Company Class B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currently held by Dr. Joseph Fitzsimons;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vi.  20,000 Company Class A Shares held by Revere.</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Warrants offered by the</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 to 2,884,660 Company Private Warrants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Securityholders</w:t>
            </w:r>
          </w:p>
        </w:tc>
        <w:tc>
          <w:tcPr>
            <w:tcW w:w="64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Securityholders for their respective accounts. We will not receive any of the proceeds from such sales.</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price</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securities offered by this prospectus may be offered and sold at prevailing market prices, privately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negotiated prices or such other prices as the Selling Securityholders may determine. See “Plan of Distribution.”</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Warrants issued and</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6,044,160 Company Warrants, consisting of 3,159,500 Company Public Warrants and 2,884,660 Company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Policy</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 have never declared or paid any cash dividend on our Company Class A Shares. We currently intend to retain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any future earnings and do not expect to pay any dividends in the foreseeable future. Any further determination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pay dividends on our Company Class A Shares would be at the discretion of our board of directors,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applicable laws, and would depend on our financial condition, results of operations, capital requirements, general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business conditions, and other factors that our board of directors may deem relevant.</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Lock-up arrangement</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securities being registered for resale by certain Selling Securityholders named in the prospectus are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a two year lock-up period from March 19, 2026, subject to certain exceptions. The holders of Sponsor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are subject to lock-up requirement of up to one year following the consummation of the Business Combination,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subject to certain exceptions.</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 for our Company Class A</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Our Company Class A Shares and Company Public Warrants are listed on Nasdaq under the symbols “HQ”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and Warrants</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“HQWWW,” respectively.</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Prospective investors should carefully consider the “Risk Factors” for a discussion of certain factors that should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 considered before buying the securities offered hereby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204"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Although we have organized risks generally according to these categories in the discussion below, many of the risks may have ramifications in more than one category. These categories, therefore, should be viewed as a starting point for understanding the significant risks we face and not as a limitation on the potential impact of the matters discussed.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a significant amount of cash as we invest in ongoing research and development and business operations. Additionally, we may need additional capital sooner than anticipated to pursue our business objectives, respond to business opportunities, challenges or unforeseen circumstances and we cannot be sure that additional financing will be available. If we are unable to raise additional funding when needed, we may be required to delay, limit or substantially reduce our development efforts.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and future plans for expansion are research and development intensive and the specific timing of cash inflows and outflows may fluctuate substantially from period to period for such endeavors. For example, in addition to our continuing investment in our technology roadmap, we continue to invest in the expansion of and upgrades to our modular quantum hardware testbed and infrastructure, cloud computing resources, ongoing commercialization efforts, global talent acquisition and the professional and legal costs associated with being a public company. The actual amounts we may be required to spend on these and other matters could be significant, and may exceed our expectations.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that the proceeds of the Business Combination, including the proceeds from the PIPE Private Placement and funds disbursed from the Trust Account, together with our other existing cash, cash equivalents and marketable securities will be sufficient to meet our anticipated operating cash needs for at least the next 12 months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the issuance of securities with priority as to liquidation and dividend and other rights more favorable than the Company Shares, the imposition of debt covenants and repayment obligations or other restrictions that may adversely affect our business. Any funds we raise may not be sufficient to fund our operations or enable us to continue to implement our long-term business strategy. Further, our ability to raise additional capital may be adversely impacted by worsening global economic conditions, disruptions to and volatility in the credit and financial markets in the United States and current and future military conflicts and wars around the world including related sanctions, tariffs and trade protection measures. There can be no assurance that deterioration in credit and financial markets and loss of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development efforts.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obtain sufficient capital we would be unable to fund our operations and may be required to evaluate alternatives, which could include dissolving and liquidating our assets in which case we may receive less than the value at which those assets are carried on our audited financial statements, and/or seeking protection under bankruptcy laws. A determination to file for bankruptcy could occur at a time that is earlier than when we would otherwise exhaust our cash resources, and it is unclear to what extent we would be able to pay our obligations, and to what extent any assets would be available for distribution to shareholders. This could potentially cause us to cease operations and result in a complete or partial loss of your investment in our securities. We cannot anticipate all of the ways in which the economic climate and financial market and geopolitical conditions could adversely impact our business.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future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our very early stages and have a limited operating history, which makes it difficult to forecast the future results of our operations. It is also possible quantum computing might never become commercially viable or embraced. Our technology roadmap, including the anticipated milestones and timing thereof, may change.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was founded in 2018, and we began developing our current quantum software development tools that same year. As a result of our limited operating history, our ability to accurately forecast our future results of operations is limited and subject to a number of uncertainties, including our ability to plan for and model future growth. Our ability to generate revenues will largely be dependent on our ability to develop our products and services within the quantum computing industry and on the further development and commercialization of quantum computers and their software infrastructure. We are still in the technology development phase of our business plan. Our scalable business model has not been formed as of yet and our technology roadmap may not be realized as quickly as hoped, or even at all. In the future, we may fail to meet publicly announced milestones or fail to meet projected technological milestones. We may further update our technology roadmap in the future, including anticipated milestones and anticipated timeline for milestones. The development of our scalable business model will likely require the incurrence of a substantially higher level of costs than incurred to date, while our revenues will not substantially increase unless and until more powerful, scalable, higher performing computers are produced and commercially available to our potential customers, which requires a number of technological advancements which may not occur on the currently anticipated timetable or at all. As a result, any financial results we achieve in future periods should not be considered indicative of our performance for periods subsequent to those periods. Further, in future periods, our growth could slow or decline for a number of reasons, including but not limited to slowing demand for sales of our quantum software development tools, increased competition, changes to technology, inability to scale up or improve performance of our technology, a decrease in the growth of the market, or our failure, for any reason, to continue to take advantage of growth opportunities.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early in our development efforts and we have only recently begun to commercialize our products and services. Our business model is predicated on quantum computing becoming both commercially viable and embraced by our potential customers and target industries. In the event the quantum computing fails to generate meaningful results at a commercially viable cost, we may need to adapt our business model and technology roadmap in response.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from our company and quantum computing hardware companies. There is no certainty these research and development milestones will be achieved as quickly as hoped, or even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or if it encounters negative publicity or if our solution does not drive commercial engagement, the growth of our business will be harmed.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nascent market for quantum computer and quantum computing solutions is still rapidly evolving, characterized by rapidly changing technologies, competitive pricing and competitive factors, evolving government regulation and industry standards and changing customer demands and behaviors. If demand for quantum computers and quantum solutions in general does not develop as expected, or develops more slowly than expected, our business, prospects, financial condition and operating results could be harmed.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growth and future demand for our products is highly dependent upon the adoption by developers and customers of quantum computers, as well as on our ability to demonstrate the value of quantum computing to our potential customers. Delays in future generations of our quantum development tools or technical failures at other quantum computing companies could limit acceptance of our solutions. Negative publicity concerning our solutions or the quantum computing industry as a whole could limit acceptance of our solutions. We believe quantum computing will solve many large-scale problems. However, such problems may never be solvable by quantum computing technology, which will limit the overall market and interest in quantum computing based applications.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our future clients and partners do not perceive the benefits of our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model is built on the assumption that our quantum algorithm synthesis technology can effectively convert classical code into practical, quantum-accelerated applications. However, there is no guarantee that our toolchain will consistently generate quantum applications that outperform classical solutions. If our software cannot deliver a meaningful performance advantage, the market for our products and services may not develop as we anticipate which would materially harm our business and financial prospects.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business model is predicated on the successful development and market adoption of our quantum algorithm synthesis technology. While we believe this technology will enable us to convert classical code into practical, quantum-accelerated applications, there can be no guarantee that we will be successful in doing so. Our existing software toolchain, while functional, may not consistently produce quantum applications that provide a meaningful performance advantage over existing classical solutions.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demonstrating a clear and consistent performance advantage is difficult due to several factors, including: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for what constitutes a “meaningful advantage” is evolving. Classical computing methods and algorithms are continuously improving, and a problem that is difficult for classical computers today may become easier in the future, eroding our potential advantage. Additionally, even if we are able to produce a meaningful advantage when compared with classical computing methods, there is no guarantee we will be able to deliver these results at a commercially reasonable price point for our intended customers;</w:t>
      </w:r>
    </w:p>
    <w:p>
      <w:pPr>
        <w:spacing w:after="0" w:line="179"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available quantum computers, including our own hardware testbed, have limitations in terms of qubit count, error rates and stability. These limitations can hinder our ability to run complex algorithms and demonstrate a tangible performance gain over classical supercomputers;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practical, real-world problems for which quantum computing offers a clear and demonstrable advantage remains limited. If we are unable to identify and commercialize compelling use cases where our software consistently outperforms classical methods, our ability to attract and retain customers will be harmed;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applications generated by our software do not significantly outperform their classical counterparts in terms of accuracy or efficiency, the market for our products and services may not develop as we anticipate. In this scenario, potential customers may not see a compelling reason to invest in our technology, which would severely harm our business and financial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can use our capital resources from the Closing of the Business Combination. If we fail to manage our capital resources effectively, our business, financial condition, operating results and cash flow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closing of the PIPE Private Placement and the Business Combination we received aggregate gross proceeds of approximately $120 million. We intend to use our capital resources for general working capital purposes. However, management has broad flexibility and discretion in applying the net proceeds of the PIPE Private Placement and Business Combination for working capital. Our shareholders will be relying on the judgment of management with regard to the use of these proceeds, and they will not have the opportunity, as part of their investment decision, to assess whether the proceeds are being used in a way they approve. Our executive officers have limited experience with managing capital in amounts similar to the gross proceeds received from the PIPE Investment, and as a result, it is possible that the net proceeds will be invested in a way that does not yield a favorable, or any, return for us. The failure of our executive officers to use such funds effectively could have a material adverse effect on our business, financial condition, operating results and cash flow.</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quantum hardware providers to deliver the compute necessary for our software to function. The pace of hardware development, including factors like qubit counts, error rates and availability, is outside of our control. If the underlying hardware ecosystem does not mature as quickly as we expect, or if a major hardware provider fails, it could create delays for our business and severely impact our ability to deliver solutions to potential customers.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third-party providers for the quantum computing power essential to our software’s operation. This dependence exposes our business to substantial risks, as the pace and quality of hardware development are entirely outside our control. The quantum computing industry is still in its nascent stage, and the hardware landscape is characterized by rapidly changing technology and a limited number of viable providers. The performance and functionality of our software are critically dependent on the technical specifications of the underlying hardware. Two of the most important metrics are:</w:t>
      </w:r>
    </w:p>
    <w:p>
      <w:pPr>
        <w:spacing w:after="0" w:line="178" w:lineRule="exact"/>
        <w:rPr>
          <w:sz w:val="20"/>
          <w:szCs w:val="20"/>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Qubit Count </w:t>
      </w:r>
      <w:r>
        <w:rPr>
          <w:rFonts w:ascii="Times New Roman" w:cs="Times New Roman" w:eastAsia="Times New Roman" w:hAnsi="Times New Roman"/>
          <w:sz w:val="18"/>
          <w:szCs w:val="18"/>
          <w:color w:val="auto"/>
        </w:rPr>
        <w:t>— The number of qubits in a quantum computer directly determines the complexity of the problems it can handle.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are designed to address problems that are intractable for classical computers, and these require a sufficient number of qubits to execute. If a provider’s hardware roadmap for scaling qubit counts is not delivered on schedule, our ability to deliver on our own technology roadmap may be severely compromised.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Error Rates </w:t>
      </w:r>
      <w:r>
        <w:rPr>
          <w:rFonts w:ascii="Times New Roman" w:cs="Times New Roman" w:eastAsia="Times New Roman" w:hAnsi="Times New Roman"/>
          <w:sz w:val="18"/>
          <w:szCs w:val="18"/>
          <w:color w:val="auto"/>
        </w:rPr>
        <w:t>— Quantum systems are highly susceptible to errors due to the fragile nature of qubits. These errors can corrupt computations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make results unreliable. Our software is designed with certain assumptions about hardware error rates. If the actual error rates of a provider’s hardware are higher than anticipated, it could require significant modifications to our software to mitigate these errors, leading to delays and increased development costs. For our software to be truly effective, the hardware must have low enough error rates to allow for the use of quantum error correction techniques, which are necessary for complex and long-running algorithms. The threshold for this is generally considered to be below a 1% error rate for two-qubit gates on a reliable basis, a metric still being perfected by many providers.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small number of third-party providers; a failure or significant setback at any one of them could have a material and adverse effect on our business. If a major provider experiences a technical failure, ceases operations, or changes its business model in a way that makes their hardware inaccessible or prohibitively expensive, it may affect our services or business model. Should we need to transition to an alternative provider, we may face difficulties securing one on acceptable terms or with the capabilities required to support our systems. Given the early-stage nature of the quantum computing industry, our options for alternative providers may be significantly limited. Furthermore, if the development of quantum computing hardware does not progress as expected or if such hardware becomes unavailable to us or our providers, our business could also be adversely impacted.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Customers may not perceive the value proposition of a classical-to-quantum compilation toolchain or may prefer alternative methods for developing quantum applications or programs.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adoption and continued use of our classical-to-quantum compilation toolchain by organizations and developers seeking to build and deploy quantum applications. The market for quantum computing is still nascent and rapidly evolving, and potential customers may not yet fully understand or appreciate the advantages of our toolchain. Our potential customers may also determine that existing or alternative development methods such as manually optimized quantum code, hardware-specific programming environments, or competing software platforms better meet their needs, budget, or technical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potential customers do not recognize the value of our solution, or if alternative approaches gain broader acceptance, our ability to acquire new users, grow revenues and achieve or sustain profitability could be materially and adversely affected. Additionally, significant investment in educating the market or adapting our offerings to align with customer preferences could increase operating expenses and delay or reduce our expected growth.</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capabilities or material enhancements to Triple Alpha, or any new platform we may create, or if we do not use those investments efficiently, our business and results of operations would be harmed.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invest significantly in our research and development efforts to develop new products and enhance our existing products to address additional applications and markets. In the fiscal years 2025 and 2024, our research and development expenses were 48.5% and 44.0% of our operating losses, respectively. If we do not spend our research and development budget efficiently or effectively on compelling innovation and technologies, our business could be harmed and we may not realize the expected benefits of our strategy.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we are developing could decrease after the development cycle has commenced, and we would nonetheless be unable to avoid substantial costs associated with the development of any such product. If we expend significant resources on research and development and our efforts do not lead to the successful introduction or improvement of products that are competitive in our current or future markets, it could harm our business and results of operations.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our ability to increase any future revenue and attract potential customers will depend in significant part on our ability to anticipate and respond effectively to rapid technological changes and market developments as well as the evolving quantum computing landscape. The success of our Triple Alpha platform, and any other platform we may create,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 either monetarily or in the form of increased performance of our existing and future platforms.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expect to incur significant expenses and continuing losses for the foreseeable future. In addition, we have never generated any material revenue from product sales and may never be profitable.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incurred net losses of S$23.1 million and S$7.5 million for the years ended December 31, 2025 and 2024, respectively. As of December 31, 2025, we had an accumulated deficit of S$44.5 million. We believe that we will continue to incur operating and net losses each quarter until at least the time we begin generating significant revenue from our quantum software development tools, which may never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incur significantly higher losses in future periods as we, among other things, continue to make significant expenses in connection with the design and development of our software development tools; as we expand our research and development activities; increase the size and scope of our facilities; expand our number of developers; increase our sales and marketing activities; develop our infrastructure; and increase our general and administrative functions to support our growing operations and our being a public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find that these efforts are more expensive than we currently anticipate or that these efforts may not result in revenues, which would further increase our losses. If we are unable to achieve and sustain profitability, or if we are unable to achieve the growth that we expect from these investments, it could have a material adverse effect on our business, financial condition or results of operations. Our business model is unproven and may never allow us to cover our costs.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generate no meaningful revenue and we may never be able to develop our technology or a marketable product. Our ability to generate meaningful revenue, which we do not expect to occur for several years, if ever, remains uncertain. Many factors could affect any future profitability, including but not limited to costs of development, consumer reception to our products, unpredictable market conditions, as well as unforeseen events. There is a possibility that we may never generate revenue or generate adequate revenue to operate profitably or continue as a going concern.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execute on our strategy, including due to changing customer needs and new technologies and other market requirements, or achieve our objectives in a timely manner, our business, financial condition and results of operations could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quantum computing and software development markets are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future customer adoption of our products and services. If we are unable to enhance our products and services to keep pace with these rapidly evolving potential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potential market for our quantum computing software tools is very broad, our achievement of commercial successes will require continued research and development in order for our products and services to fully address the software market, and if that research and development is not successful this may limit adoption of our products and services to a narrow range of potential customers. If we cannot successfully attract a broad range of future customers to our quantum computing software development tools, our business will be negatively impacted and could fail.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we are successful in executing on our product roadmap and strategy and delivering increasingly more effective quantum computing software development tools and services, competitors in the industry may achieve technological breakthroughs that render our products and services obsolete or inferior to other products and services or that can be offered at lower costs than our products and services.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continued growth and success depend on our ability to innovate and develop quantum software technology in a timely manner and effectively market these products. Without the timely introduction of new products, services and enhancements that comply with changing laws and standards, including through the use of new and emerging technologies (e.g., artificial intelligence and machine learning), we could be at a competitive disadvantage and our offerings could become technologically or commercially obsolete over time, in which case our revenue and operating results would suffer. Any technological breakthroughs which render our technology obsolete or inferior to other products could have a material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Even if the market in which we compete achieves its anticipated growth levels, our business could fail to grow at similar rates, if at all.</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success will depend upon our ability to expand, scale our operations, generate sales and enhance our corresponding support capability. Even if the market in which we compete meets the size estimates and growth forecasted, our business could fail to grow at similar rates, if at all.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growth is dependent upon our ability to successfully sell quantum software development tools, expand our solutions and services, bring in new customers, retain such new customers, and retain critical talent. Unforeseen issues associated with scaling up and constructing quantum computing technology at commercially viable levels could have a negative impact on our business, financial condition and results of operations. We do not have experience with supplying a large number of customers with our tools and services, or the sale and retention to new customers. Our growth and long-term success will depend upon the development of our sales and retention capabilities.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because of our differentiated technology, our potential customers will require particular support and service functions, some of which are not currently available, and may never be available. If we experience delays in adding such support capacity or servicing our potential customers efficiently or experiencing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potential customers may inhibit our growth and ability to expand.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scale our business to meet our sales and distribution targets globally, that expected growth levels will prove accurate or that the pace of growth or coverage of our customer infrastructure network will meet future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research and development spending by academic institutions and other research entities could limit demand for our products and services and adversely affect our business, operating results, financial condition and future prospects.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demand for our current and future quantum computing platforms and software tools may depend in part on the research and development budgets of academic institutions and research entities, which are subject to various factors beyond our control, including:</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for quantum computing and broader scientific research initiatives;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grant programs that support research institutions, including shifts in funding priorities or administrative processes that extend funding cycles;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and shifts in the political landscape;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and industry perceptions of the utility, scalability and readiness of quantum computing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researchers’ and institutional stakeholders’ evaluations of the performance and reliability of our quantum hardware and software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and recognition of our technology in peer-reviewed quantum research publications;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changes in national or international regulatory frameworks impacting quantum technologies;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procurement and funding cycles, especially for government-backed or grant-funded organizations, where purchasing decisions often align with fiscal year-end timelines;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 quantum hardware, software, or pricing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market adoption and maturity of quantum computing technologies;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and governmental efforts to consolidate infrastructure, reduce redundancy and contain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funding agencies at various governmental levels may face fiscal pressures that could lead to reduced budgets, lower grant allocations, or restructured funding programs. Such developments could limit the ability of academic institutions and other research entities to procure our products or invest in emerging quantum initiatives. For instance, while agencies such as the U.S. Department of Energy (DOE) and the National Science Foundation (NSF) have increased their investment in quantum research in recent years through programs like the National Quantum Initiative, funding levels may fluctuate due to political or economic shifts. A reduction in appropriations or delays in grant approvals from these or similar institutions, such as the European High-Performance Computing Joint Undertaking (EuroHPC) or Japan’s Quantum Technology Innovation Strategy programs, could diminish funding available for quantum research. This, in turn, could lead to fewer opportunities for us to sell our products and services to research institutions, negatively impacting our financial performance.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material decrease in the budgets or expenditures of our potential customers, or a reduction in the scale, frequency, or scope of their quantum R&amp;D investments, could materially and adversely affect our business, results of operations, financial condition and growth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advances in technology by other companies and academic institutions, if those advances do not materialize, some of our products may not be successfully commercialized.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quantum computing solutions depend on continued innovation in areas such as quantum hardware, error correction and cryogenics, much of which is being developed by third parties, including academic institutions, national labs and specialized technology companies. We do not control the pace or success of these external efforts. Delays or failures in these areas could hinder our ability to bring certain products to market, impact performance expectations, or increase development costs. As a result, our commercial prospects could be materially and adversely affected if the broader ecosystem does not progress as anticipated.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failure to manage growth effectively could harm our business, results of operations and financial condition. We anticipate that a period of significant expansion will be required to facilitate potential growth. This expansion will place a significant strain on our management, operational and financial resources. For example, expansion of and upgrades to our facilities and systems is continual and ongoing, and we may not complete expansions and upgrades on terms originally anticipated, in a timely manner or at all, which could have a material impact on our business, financial condition or results of operations. Expansions and upgrades require significant cash investments and management resources and there is no guarantee that there will be future sales of our products or services, or that we will be able to avoid cost overruns or be able to hire additional personnel to support us. In addition, we also need to ensure our compliance with regulatory requirements in various jurisdictions applicable to the sale, installation and servicing of our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manage the growth of our operations and personnel, we must establish and maintain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customers and retain and increase the spending of such customers over time, our revenue, business, results of operations, financial condition and growth prospects would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if the quantum computing industry, in which we compete, achieves the forecasted growth, our business could fail to grow at similar rates, if at all. Our success will depend upon our ability to expand our platform’s capabilities, scale our operations, build and increase our sales capability, and successfully complete professional services projects, that may or may not progress to in-production applications. Unforeseen issues associated with scaling up and access to quantum computing technology at commercially viable levels could negatively impact our business, financial condition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growth is dependent upon our ability to successfully market and sell quantum computing software and development tools. We plan to utilize various unpaid content marketing strategies, including customer events, seminars, webinars, blogs, thought leadership and social media engagement and third-party event sponsorship, to attract prospective users of our development platform and services. These unpaid or paid efforts may not attract a sufficient volume and quality of traffic to our development platform and services, in the future, we may be required to increase our marketing spend to achieve our volume and quality of traffic targets.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revenue-producing solutions or pricing models necessary to accurately predict optimal pricing necessary to attract new customers and retain such customers.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need to identify solutions that can act as sources of revenue or change our pricing model from time to time. As the market for our platform matures, or as competitors introduce new solutions that compete with ours, we may be unable to attract potential customers at the same prices or based on the same pricing models that we intend to implement. Our assessments of competitive pricing may not be accurate and we could be underpricing or overpricing our platform and services. Our limited history of selling quantum software development tools and services means we do not have long-term market data on the optimal method of pricing our services and maximizing the opportunities they represent. In addition, if the offerings on our platform or our services change, we may need to revise our pricing strategies. Any such changes to our pricing strategies or our ability to efficiently price our offerings could adversely affect our business, results of operations and financial condition. In addition, as we continue to expand internationally, we also must determine the appropriate pricing strategy to enable us to compete effectively internationally. Pricing pressures and decisions could result in reduced sales, reduced margins, losses or the failure of our platform to achieve or maintain more widespread market acceptance, any of which could negatively impact our overall business, results of operations and financial condition. Moreover, larger organizations, which are a primary focus of our direct sales efforts, may demand substantial price concessions. As a result, we may be required to price below our targets in the future, which could adversely affect our revenue, gross margin, profitability, cash flows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are dependent on the success of our strategic relationships with third parties.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and anticipate that we will continue to depend on, various third-party suppliers in order to sustain and grow our business. Failure of any of these suppliers to continue to provide products and services to maintain, support or secure their technology platforms or our integrations, or errors or defects in their technologies, products or services, could adversely affect our relationships with our potential customers, damage our brand and reputation and result in delays or difficulties in our ability to provide our platform. Shortages or supply interruptions in any of these components will adversely impact our financial performance.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platform and products depend on the ability to access and integrate with third-party quantum computing and quantum computer providers. Currently, our software integrates with a number of quantum hardware providers; should we lose the ability to integrate with a number of these providers our business would be adversely harmed. We also depend on the cloud-based quantum services of providers to provide our partners and potential customers with access to remote quantum processors. Additionally, our modular hardware testbed currently relies on the operations, supply chains and services of key quantum hardware and service providers. Any disruption or failure to maintain these relationships, or any significant changes to the technologies they provide, would directly impact our ability to deliver our platform and services.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our innovation, teamwork, passion and focus on execution that we believe contribute to our success and our business may be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corporate culture has been a contributor to our success, which we believe fosters innovation, teamwork, passion and focus on building and marketing our Triple Alpha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such customers and expand their use of our Triple Alpha platform, and/or any other new platforms that we develop, all of which would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and enhance our brand or adequately commercialize our tools, our business, results of operations and financial condition could be harmed.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ability to attract customers. The successful promotion of our brand attributes will depend on a number of factors, including our marketing efforts, our ability to continue to develop high-quality products, our ability to minimize and respond to errors, failures, outages, vulnerabilities, or bugs and our ability to successfully differentiate our products from competitive products. In addition, independent industry analysts often provide analyses of products offered in our space, and perception of the relative value of our products in the marketplace may be significantly influenced by these analyses. If these analyses are negative, or less positive as compared to those of our competitors’ products, our brand may be harmed.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potential customers or fail to attract new customers, any of which could harm our business,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indebtedness may limit our flexibility in obtaining additional financing and in pursuing other business opportunities or operating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currently have any indebtedness outstanding. We have the ability to incur debt in the future. Our level of debt could have important consequences to us, including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a significant amount of debt, we may need a substantial portion of our cash flow to make principal and interest payments on our debt, reducing the funds that would otherwise be available for investment in operations and future business opportunities;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a significant amount of debt, our debt level will make us more vulnerable than our competitors with less debt to competitive pressures or a downturn in our business or the economy generally;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a significant amount of debt, our debt level may limit our flexibility in responding to changing business and economic conditions.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service any future debts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any future indebtedness, we will be forced to take actions such as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to us or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if we do not compete effectively, our business, results of operations and financial condition could be harmed. Additionally, competitive pressures may put pressure on our pricing, which may require us to reduce our pricing in order to provide competitively priced access to our products and services.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markets for our solutions are fragmented, rapidly evolving and highly competitive. We face competition from both traditional, larger software vendors offering developer tools and smaller companies offering point products for features and use cases. Many of our competitors have significantly greater financial resources and expertise in research and development, bringing products to market and possess recognizable brands and strong institutional and commercial relationships in comparison to us. Our principal competitors vary depending on the product category and include IBM (Qiskit), Classiq and Microsoft Quantum Development Kit. In addition, some of our competitors may make acquisitions to offer a more comprehensive product or service offering, which may allow them to compete more effectively with our products. We expect this trend to occur as companies attempt to strengthen or maintain their market positions in an evolving industry. Following such potential consolidations, companies may create more compelling product offerings and be able to offer more attractive pricing options, making it more difficult for us to compete effectively. Smaller or early-stage companies may also prove to be significant competitors, particularly if they pursue competing solutions through collaborative arrangements with large and established companies, such as IBM, Microsoft and Google.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competitors, particularly our competitors with much greater financial and operating resources, may be able to respond more quickly and effectively than we can to new or changing opportunities, technologies, standards, or future customer requirements. With the adoption of new technologies, such as AI and machine learning, and new market entrants, we expect competition to intensify in the future. For example, our competitors may more successfully incorporate AI into their products, gain or leverage superior access to certain AI technologies and achieve higher market acceptance of their AI solutions. In addition, as we continue to expand our focus into new use cases or other product offerings beyond software development teams, we expect competition to increase. Pricing pressures and increased competition generally could result in reduced sales, reduced margins, losses, or the failure of our products to achieve or maintain more widespread market acceptance, any of which could harm our business, results of operations and financial condition.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have greater resources than we do, with established marketing relationships, large enterprise sales forces, access to larger customer bases, pre-existing customer relationships and major distribution agreements with consultants, system integrators and resellers. Additionally, our potential customers, particularly large organizations, have elected and may in the future elect to develop or acquire their own internal collaboration and productivity software tools that would reduce or eliminate the demand for our solutions.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competitors have extensive experience in developing and protecting intellectual property and may develop and patent processes or products earlier than us, obtain regulatory approvals for competing products more rapidly than we are able to and develop more effective and less expensive products or technologies that would render our products non-competitive or obsolete. We may also face intellectual property litigation risks if competitors assert patents or other intellectual property rights that overlap with our technologies or product offerings.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seek to serve multiple industries, and we are subject to competition from a wide and varied field of competitors, including classic compute-based solutions. Some competitors, particularly new and emerging companies with sizeable venture capital investment, could focus all their energy and resources on one product line or use case and, as a result, any one competitor could develop a more successful product or service in a particular market we serve which could decrease our market share and harm our brand recognition and results of operations. For all of these reasons and others we cannot anticipate today, we may not be able to compete successfully against our current and future competitors, which could harm our business, results of operations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markets for our products and services in general are competitive. Competition in these markets may increase further if economic conditions or other circumstances cause customer bases and client spending to decrease and service providers to compete for fewer client resources. Our competitors may be able to make more attractive offers to our potential customers, or may be able to respond more quickly to new or emerging technologies or changes in user requirements. Increased competition could result in lower revenues and higher expenses, which would reduce our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element of our business is currently dependent upon our relationship with our cloud providers. There are no assurances that we will be able to commercialize our business from our relationships with cloud providers.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the cloud-based quantum services of providers. The companies that own these public clouds have internal quantum computing efforts that are competitive to our technology. There is risk that one or more of these public cloud providers could use their respective control of their public clouds to embed innovations or privileged interoperating capabilities in competing products, bundle competing products, provide us with unfavorable pricing, leverage their public cloud customer relationships to exclude us from opportunities, and treat us and our end users differently with respect to terms and conditions or regulatory requirements than they would treat their similarly situated customers.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 Any material change in our contractual and other business relationships with our public cloud providers could result in harm to our brand and reputation and reduced use of our systems, which could have a material adverse effect on our business, financial condition and results of operations.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the ability of Triple Alpha, or any other platform we create, to be portable and effective across different quantum computing hardware platforms (e.g., superconducting, trapped ion, etc.). We will also need to adapt and respond effectively to rapidly changing technology, evolving industry standards, changing regulations, or changing customer needs, requirements or preferences, to prevent our solutions from becoming less competitive. If we are unable to develop or maintain the necessary integrations, if quantum hardware providers prefer to offer their own proprietary software infrastructure, and if our products and services become less competitive, our ability to commercialize our products will be limited and our business, financial condition and results of operations will be harmed.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assumes that our software, Triple Alpha, or any other platform we create, can be a compelling and universal tool, effective across a variety of quantum computing hardware platforms. The introduction of new technologies will continue to have a significant effect on competitive conditions to which we are subject. In order to continue to provide value for our future customers, we must offer innovative solutions that allow our future customers to develop and operate quantum software code and applications. Certain technologies and industry developments may negatively impact our ability to compete within certain industry segments. In the event our competitors develop software ecosystems that are closed or limit the interoperability of our solutions, we will be less competitive and less attractive to prospective customers.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on our ability to develop and maintain the necessary integrations for each of these diverse platforms. Quantum hardware is in its early stages and is not standardized. The underlying architecture and control systems for a superconducting quantum computer are fundamentally different from those of a trapped ion machine. Therefore, to be truly “platform-agnostic,” we must dedicate resources to building and constantly updating distinct software interfaces for each major hardware type. If we fail to keep up with the rapid pace of hardware development, our software could become obsolete on a particular platform, effectively locking our products and services out of a portion of the market. While we are actively engaged in collaborations with multiple leading quantum hardware providers and are developing a modular software architecture designed to adapt quickly to new hardware platforms as they emerge, there can be no assurance that these relationships will result in our ability to adapt quickly to any potential hardware changes.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products and services that we can offer prospective customers. We may make these investments without being certain that they will result in products or enhancements that will be accepted by prospective customers or that will achieve market acceptance. If we are unable to successfully enhance our products and services to meet evolving customer requirements, increase adoption and use cases of our solution and develop new services and solutions, then our business, financial condition and results of operations would be adversely affected.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quantum hardware providers may choose to build and promote their own proprietary software infrastructure. Many hardware manufacturers already offer their own tools and software development kits (SDKs) that are optimized for their specific machines.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providers create “walled gardens” around their hardware, and incentivize their customers to use their in-house software, our business could be materially and adversely harmed. Our ability to commercialize Triple Alpha, or any other platform we create, would be severely limited if we are unable to secure partnerships or if the market develops a preference for single-vendor solutions. This could significantly harm our business, financial condition and results of operations. While we have taken steps to mitigate the risks that proprietary software infrastructure may pose to our business, there is no guarantee our efforts will be successful. Furthermore, if these technologies do not continue to be improved or are replaced with alternative technologies that we do not effectively adapt to, our ability to innovate may be diminished and our market appeal and value to customers may be harmed.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the design and manufacturing of the quantum computing equipment that we use to provide our services. Supply chain disruptions or other restrictions on our access to our suppliers could delay our ability to deploy such equipment and could have a material adverse effect on our business, financial position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the design and manufacturing of the quantum computing equipment that we use to provide our services. We generally purchase these components on a purchase order basis, and do not have long-term contracts guaranteeing supply. Our reliance on these suppliers exposes us to risks, including reduced control over development costs and constraints based on the future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changes in import and export controls, public health crises and natural disasters. While we have taken steps to mitigate our supply chain risk, supply chain disruptions and delays could nevertheless adversely impact our operations by resulting in increased operating costs.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our own quantum computer within our hardware testbed, and intend to acquire a second quantum computer. There are significant technological, operational and financial risks associated with developing, building and maintaining a functional quantum computer. If we fail to maintain an operational quantum computer, or if we fail to achieve competitive performance metrics, we may incur substantial costs and damage our reputation, which would negatively impact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own and operate a superconducting quantum computer. We plan to make this fully operational system available to Triple Alpha users in the first half of 2026. With this system, we expect that we will be able to more efficiently integrate and test our software infrastructure with quantum processing units and control systems. We also plan to acquire a second quantum computer — a trapped ion system — by 2027, though there can be no assurance that we will do so. Through ownership and operation of this quantum-advantage capable system, we aim to enable internal and external Triple Alpha users to test algorithms and develop applications with the intention of achieving quantum advantage. We expect that these systems will help broaden and deepen Triple Alpha’s capabilities over time and support our goal of creating hardware-agnostic software development tools that are deeply optimized for the physical realities of quantum processors. In addition to maintenance costs on our current quantum computer, the acquisition of a second computer will require material additional capital outlay. Furthermore, since quantum computing is in the early stages of development, we may be required to update these systems to ensure that they remain state of the art. These updates could necessitate incremental further capital outlay. If the anticipated advantages of owning our own hardware are not realized and do not outweigh these capital outlays, our business, financial results, and growth prospects could be adversely affected.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installation and maintenance of our quantum computers have been and will continue to be resource intensive and could result in a reduction in both human and financial capital that could have been directed to further our other research and development focuses. While we believe that operating our own quantum computers gives us strategic and competitive advantages, there is no guarantee that any advantage we do gain will be greater than our expenditures.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building and operating our quantum computers, even on a testbed scale, has been and will continue to be an extremely difficult and capital-intensive endeavor. We have collaborated with a number of premier quantum components suppliers for our first system; however, the path to consistent functionality of our quantum computers inevitably contains technical challenges, including scaling qubits while maintaining coherence, managing complex wiring systems and operating specialized cryogenic refrigeration units. These challenges could cause substantial delays beyond our committed timelines or result in a system that fails to achieve competitive performance metrics.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as we have historically focused on software, we do not have the same level of in-house expertise in quantum hardware design, manufacturing and maintenance as our hardware-focused competitors. Consequently, this could lead to unforeseen operational challenges, increased costs and a greater reliance on our third-party partners.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Finally, any significant outages in the operation of our testbed, or a failure to demonstrate its functionality and performance, would not only result in substantial and unrecoverable costs but could also seriously damage our reputation as a leader in the quantum software space. Our ability to attract customers, partners and investors is dependent on a perception of our ability to bridge the gap between software and hardware. Any failure in this regard could have a material adverse effect on our business, financial condition and results of operations. Furthermore, there is no guarantee we will be successful installing, maintaining and operating additional quantum computers at a cost comparable to our existing equipment. As quantum computer technology advances, and as we continue to seek ever more sophisticated quantum computer hardware, the cost associated with acquiring components may greatly increase.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quantum software development tools and services, or with the public cloud, data centers and internet infrastructure on which we rely. This could harm our reputation or subject us to significant liability and adversely affect our business, financial condition and operating results.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depends on our quantum software development tools and services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quantum software development tools and services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Joseph Fitzsimons and Si-Hui Tan, and on our ability to attract and retain senior executive leadership and key employees, such as quantum physicists, software engineers and other key technical employees, who are critical to our success. If we fail to retain talented, highly qualified senior management, engineers and other key employees or attract them when needed, such a failure could negatively impact our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on the continuing efforts of Joseph Fitzsimons and Si-Hui Tan. We rely on the knowledge and experience that Dr. Fitzsimons and Dr. Tan provide as it relates to quantum computing technology. They are the cornerstone of our research and development efforts, which have been instrumental in our ability to develop our products and services. The market for such positions is intensely competitive, which could increase our costs to attract and retain talented individuals. In the event Dr. Fitzsimons or Dr. Tan were to become unavailable for any reason, including injury, illness or death, or if they were to leave Horizon or choose other ventures over Horizon, there could be a material adverse impact on our operations. Effective succession planning is also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Dr. Fitzsimons or Dr. Tan, or any of our other key employees, could hinder our strategic planning and execution.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highly qualified and skilled employees, such as quantum physicists and software engineers.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software systems. Some of these professionals are hard to find and we may encounter significant competition in our efforts to hire them. Many of the other companies with which we compete for qualified personnel have greater financial and other resources than we do. And, as we build our brand and become more well-known, there is an increased risk that competitors or other companies may seek to hire our personnel. Our employees are generally “at will” employees and may leave our employment at any time. The loss of the services provided by these individuals will have an adverse impact on the achievement of our business plans.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effective operation of our supply chain, including the acquisition of critical components and materials, the development and commercialization of our quantum computing technologies and the effective operation of our managerial and operating systems all depend upon our ability to attract, train and retain qualified personnel in the aforementioned specialties.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changes in immigration and work permit laws and regulations, the administration, or interpretation of such laws and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expected, or even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success depends on our ability to sell effectively to government entities and large enterprises.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potential customers are expected to include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often fixed fee development contracts, which involve additional risks.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government contracts generally include the ability of government agencies to terminate early which, if exercised, would result in a lower contract value and lower than anticipated revenues generated by such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Government agencies and large organizations often undertake a significant evaluation process that results in a lengthy sales cycle. Our potential future contracts with government agencies are expected to be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Accordingly, our business, financial condition, results of operations and growth prospects may be adversely affected by certain events or activities, including, but not limited to:</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fiscal or procurement policies, or decreases in government funding available for procurement of goods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or applicable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us as a company or our technology;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appeals, disputes, or litigation relating to government procurement, including but not limited to bid protests by unsuccessful bidders on potential or actual awards of contracts to us or our partners by the government;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automatic reductions as a result of “sequestration,” operating under continuing resolutions, disruptions from government shutdowns, or similar measures and constraints imposed by any lapses in appropriations for the federal government or certain of its departments and agencies;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by, or competition from, third parties with respect to pending, new, or existing contracts with government customers;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or procurement processes, including as a result of events such as war, incidents of terrorism, natural disasters and public health concerns;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costs or delays caused by other factors outside of our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event or activity, among others, could cause governments and governmental agencies to delay or refrain from entering into contracts with us and/or purchasing our computers in the future, reduce the size or timing of payment with respect to our services to or purchases from new government customers, or otherwise have an adverse effect on our business, results of operations, financial condition and growth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quantum hardware vendors, our ability to market, sell and distribute our quantum software tools will be limited, and our business, financial position and results of operations will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expects collaborations with leading hardware companies, control systems manufacturers, and software to act as a powerful distribution channel because these providers could embed Horizon software within their ecosystems, providing direct access to their customers. Our ability to achieve revenue growth in the future will depend in part on our success in maintaining successful relationships with quantum hardware vendors and in training quantum hardware vendors to independently sell and deploy our quantum software development tools. If we fail to effectively manage such relationships, our ability to sell our products and services, and results of operations will be harmed.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Cybersecurity incidents such as malicious internet-based activity, online and offline fraud, denial-of-service attacks, ransomware attacks, business email compromises, computer malware, viruses and social engineering (including through deep fakes or other attacks using artificial intelligence which may be increasingly more difficult to identify as fake and phishing attacks) as well as natural disasters and other similar activities threaten the confidentiality, integrity and availability of our sensitive information and information technology systems and those of the third parties upon which we rely.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threats are prevalent in the technology industry and our prospective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research and development facilities and instruments are stored, and we may be unable to implement adequate preventative measures or stop cybersecurity incidents from occurring or expanding in scope. U.S. law enforcement agencies have indicated that quantum computing technology is of particular interest to certain malicious cyber threat actors, including nation-state-supported actors. In addition, our cybersecurity risk could be increased as a result of the military conflict in Iran as well as the ongoing military conflict between Russia and Ukraine and the related sanctions imposed against Russia.</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times of war and other major conflicts, we, and the third parties upon which we rely, may be vulnerable to a heightened risk of cybersecurity incidents, including retaliatory cyber-attacks, that could materially disrupt our systems and operations, our third-party information systems, supply chain and ability to produce, sell and distribute our products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platform is built to be accessed through third-party public cloud providers such as AWS. These providers may also experience cybersecurity incidents and attacks to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Certain data privacy and security obligations may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Actual or perceived cybersecurity incidents affecting sensitive information about Horizon, our partners, our potential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cybersecurity incident in a timely manner, or it otherwise affects our potential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Cybersecurity incidents and attendant consequences may cause future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the global economy, or other catastrophic events may disrupt our business, could limit our ability to grow and negatively affect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potential customers. The global economy, including credit and financial markets, has experienced extreme volatility and disruptions, including severely diminished liquidity and credit availability, declines in customer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and any future public health crises could result in similar impacts on the global economy. Similarly, geopolitical tensions in and around Ukraine, Israel, Iran and other areas of the world have created extreme volatility in the global capital markets and are expected to have further global economic consequences, including disruptions of the global supply chain and energy markets, and further acts of war, terror, or responses to each could result in similar or increased impacts on the global economy. Increased inflation rates can adversely affect us by increasing our costs, including labor and employee benefit costs. Employee salaries and benefits expenses have increased as a result of economic growth, increased demand for business services, increased competition for trained and talented employees, among other wage-inflationary pressures and we cannot assure you that they will not continue to rise. In addition, higher inflation also could increase our potential customers’ operating costs, which could result in reduced budgets for our potential customers and potentially less demand for our platform and the development of quantum technologies. Any significant increases in inflation and related increase in interest rates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adverse changes in market conditions, a sustained decline in our stock price, negative changes to Horizon’s competitive position in the market, or lack of growth in demand for our products and services could result in our failure to meet our business plans. Depending on the nature of such changes relative to our assumptions, such adverse changes could be considered to be an impairment triggering event, impacting valuation assumptions relating to the recoverability of assets, and may result in impairment charges to our long-lived assets, other assets or investments, which would have a negative impact on our operating results and harm our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 challenging economic times, our potential future customers may experience cash flow problems and as a result may modify, delay or cancel plans to purchase our products and services. Additionally, if our future customers are not successful in generating sufficient revenue or are unable to secure financing, they may not be able to pay, or may delay payment of, accounts receivable due to us. Moreover, our key suppliers may reduce their output or become insolvent, thereby adversely impacting our ability to develop our products. Furthermore, uncertain economic conditions may make it more difficult for us to raise funds through borrowings or private or public sales of debt or equity securities. We cannot predict the timing, location, strength or duration of any economic slowdown, instability or recovery, generally or within any particular industry.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 disruption or failure of our systems or operations because of an earthquake, weather event, cyberattack, terrorist attack, pandemic, or other catastrophic event could cause delays in providing services or performing other critical functions, which could also delay commercial deals and the associated revenue recognition for those deals. A catastrophic event that results in the destruction or disruption of any of our critical business or IT systems, or the infrastructure or systems they rely on could harm our ability to conduct normal business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have had and may continue to have serious adverse consequences on our business, financial condition and share price.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times in the past,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bank failures and uncertainty about economic stability. Any volatility or disruptions in market and economic conditions may have adverse consequences on us or the third parties on whom we rely. If general economic conditions were to deteriorate or remain uncertain for an extended period, our liquidity may be harmed and the trading price of our Company Class A Shares and Company Public Warrants could decline.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equity and credit markets deteriorate, including as a result of political unrest or war, it may make any necessary financing more difficult to obtain in a timely manner or on favorable terms, more costly or more dilutive and we could be forced to delay, reduce or eliminate our research and development programs and other efforts. Increased inflation rates have and are expected to adversely affect us by increasing our costs, including labor, employee benefit costs and costs for equipment and system components associated with system development. In addition, higher inflation could also increase our future customers’ operating costs, which could result in reduced budgets for our future customers and potentially less demand for our systems. Any significant increases in inflation and related increase in interest rates could have a material adverse effect on our business, results of operations and financial condition.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in the future a financial institution in which we hold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Further, these events may make financings more difficult to obtain, and additional financing might not be available on reasonable terms, if at all; difficulties obtaining financing could have a material adverse effect on our financial condition, as well as our ability to continue to grow our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Company Class A Shares could be negatively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controls over financial reporting and to report any material weaknesses in such internal controls in our Annual Report on Form 20-F. We are required to furnish a report by management on the effectiveness of our internal control over financial reporting pursuant to Section 404 of the Sarbanes-Oxley Act in our Annual Report on Form 20-F.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Class A Shares could be negatively affected, and we could become subject to investigations by the stock exchange on which our securities are listed,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other regulatory authorities, which could require additional financial and management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will base our estimates on historical experience and on various other assumptions that we believe to be reasonable under the circumstances. The results of these estimates will form the basis for making judgments about the carrying values of assets, liabilities and equity, and the amount of revenue and expenses that are not readily apparent from other sources. Significant assumptions and estimates used in preparing our consolidated financial statements will include those related to revenue recognition; allowance for credit losses; valuation of ordinary shares;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Company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or operations could be damaged or adversely affected as a result of prolonged power outages, natural disasters and other catastrophic events.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power outages as well as events outside of our control, such as natural disasters and other calamities.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 A significant power outage may disrupt our operations and could have a material adverse impact 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products and services could materially and adversely affect our operating results, financial condition and growth prospects.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hardware and software underlying our platform and products is highly technical and complex. Our hardware and software have previously contained, and may now or in the future contain, undetected errors, bugs, or vulnerabilities. In addition, errors, failures and bugs may be contained in our software utilized in building and operating our products or may result from errors in the deployment or configuration of our platform and development tools. Some errors in our products may only be discovered after a product has been deployed or may never be generally known. In some instances, despite internal testing, we may not be able to identify the cause or causes of these problems or risks within an acceptable period of time. Any errors, bugs or vulnerabilities discovered in our products after it has been deployed, or never generally discovered, could result in interruptions in platform availability, product malfunctioning or data breaches. Since our potential customers may use our services for processes that are critical to their businesses, errors and defects, security vulnerability, service interruptions or software bugs in our platform could result in losses to our potential customers and thereby result in damage to our reputation, adverse effects upon potential customers and users, loss of such customers and relationships with third parties, significant expenditures of capital, a delay or loss in market acceptance, loss of revenue, or liability for damages. In addition, while we will include provisions in our future agreements with our future customers that attempt to limit our exposure to claims, such provisions may not be enforceable or adequate and may not otherwise protect us from liabilities or damages with respect to any particular claim. Even if not successful, a claim brought against us by any of our future customers would likely be time-consuming and costly to defend and could seriously damage our reputation and brand, making it harder for us to sell our solutions and retain our future customers.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acquisitions, divestitures, strategic investments, or strategic partnerships and fail to achieve favorable results, our business, financial condition and operating results could be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divestitures, or certain investments. Any transactions that we enter into could be material to our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our corporate culture;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products and hosting infrastructure of the acquired company, as applicable, difficulties associated with supporting new products or services, difficulty converting the customers of the acquired company onto our platform and difficulties associated with contract terms, including disparities in the revenues, licensing, support or professional services model of the acquired company;</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past intellectual property infringement or data security issues arising from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then-existing business relationships with customers as a result of the acquisition or investment;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 Acquisitions and investments may also result in dilutive issuances of equity securities, which could adversely affect our share price, or result in issuances of securities with superior rights and preferences to our common shares or the incurrence of debt with restrictive covenants that limit our future uses of capital in pursuit of business opportunities.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could harm our relationships with our future customers and our business, results of operations and financial condition.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deploying and using our products, our future customers will depend on our product support teams to resolve complex technical and operational issues. We may be unable to respond quickly enough to accommodate short-term increases in future customer demand for product support. We also may be unable to modify the nature, scope and delivery of our product support to compete with changes in product support services provided by our competitors. Increased future customer demand for product support, without corresponding revenue, could increase costs and harm our results of operations. In addition, as we continue to grow our operations, we need to be able to provide efficient product support that meets our future customers’ needs globally at scale. In order to meet these needs, we will rely on third-party vendors to fulfill requests about third-party apps and self-service product support to resolve common or frequently asked questions for Horizon products and services, which supplement our customer support teams. If we are unable to provide efficient product support globally at scale, including through the use of third-party vendors and self-service support, our ability to grow our operations could be harmed and we may need to hire additional support personnel, which could harm our results of operations. Our sales will be highly dependent on our business reputation and on positive recommendations from our future customers. Any failure to maintain high-quality product support, or a market perception that we do not maintain high-quality product support, could harm our reputation, our ability to sell our products to prospective customers, and our business, results of operations and financial condition.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and adapt our existing technology in a timely and cost-effective manner to meet our future customers’ performance and other requirements.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such future customers as their use of our solutions grow. As our future customers gain more experience with our solutions, the number of endpoints and events, the amount of data transferred, processed and stored by us, the number of locations where our platform and services are being accessed may, in the future, expand rapidly. In order to meet the performance and other requirements of our future customers, we intend to continue to make significant investments to increase capacity and to develop and implement new technologies in our products and services. These technologies include hardware and infrastructure, cloud provisioning, software architecture and the team’s capacity to triage and provide direct support.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future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future customer base and to maintain performance as our future customers expand their use of our solutions, we may not be able to grow as quickly as we anticipate, our future customers may reduce or cancel use of our solutions and we may be unable to compete as effectively and our business and results of operations may be harmed.</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ongoing improvements to our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future customers. We may not be able to maintain or achieve cost savings from our investments, which could harm our financial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operations, such as our internal software applications and our research and development activities, and may make further use of AI in our products in the future.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inferences or output, and certain generative AI uses machine learning and predictive analytics, which may be flawed, insufficient, of poor quality, reflect unwanted forms of bias, or contain other errors or inadequacies, any of which may not be easily detectable. Our future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and social issues, and if we enable or offer solutions that draw scrutiny or controversy due to their perceived or actual impact on future customers or on society as a whole, we may experience brand or reputational harm, competitive harm and/or legal liability.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equal opportunity laws and regulations, and are expected to be subject to new laws and regulations or new applications of existing laws and regulations. AI is the subject of ongoing review by various U.S. governmental and regulatory agencies, and various U.S. states and other jurisdictions are applying, or are considering applying, their cybersecurity and data protection laws to AI or are considering general legal frameworks for AI. For example, in Europe, the EU’s AI Act was published in the Official Journal of the EU on July 12, 2024 and entered into force on August 1, 2024.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On the other hand, Singapore has not enacted omnibus AI legislation but regulatory authorities have issued non-binding guidelines and best practices for organizations using AI. This includes the Model AI Governance Framework for Generative AI published on May 30, 2024, which seeks to address generative AI concerns while continuing to facilitate innovation in Singapore.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Natural disasters, pandemics and other public health emergencies, geopolitical conflicts, social or political unrest, or other catastrophic events may cause damage or disruption to our operations, international commerce and the global economy, and thus could harm our business. We have employees and operations in Singapore and in Dublin, Ireland. Dublin, as well as many other portions of Ireland, experiences coastal and river flooding that could impact our employees. In the event of a major earthquake, hurricane, typhoon or catastrophic event such as fire, power loss, telecommunications failure, cyber-attack, war or terrorist attack in any of the regions or localities in which we operate, we may be unable to continue our operations and may endure system interruptions, reputational harm, delays in our application development, lengthy interruptions in our product availability, breaches of data security and loss of critical data, all of which could harm our business, results of operations and financial condition. In the event of a power outage, the quantum computer we operate could be damaged. Superconducting quantum processors, like the one we are in the process of building in our testbed, must be maintained at ultra-low temperatures close to absolute zero to function. A power outage would cause a failure of the cryogenic cooling system, leading to a rise in temperature. This could cause significant physical damage to the delicate quantum processor and the surrounding components within the cryostat. Bringing the system back online is a deliberate operation that takes time and must follow a careful sequence of steps in order to re-cool and re-calibrate the system, which could cause a significant interruption to our research and development and our ability to validate our software solutions.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rely on our network and suppliers of third-party infrastructure and applications, internal technology systems and our websites for our development, marketing, internal controls, operational support, hosted services and sales activities. If these systems were to fail or be negatively impacted as a result of a malfunction, natural disaster, disease or pandemic, or catastrophic event, our ability to conduct normal business operations and deliver products to our future customers could be impaired.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disease or pandemic, or catastrophic event, or if we are unable to successfully execute on those plans, our business and reputation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business, and future customers could be adversely affected by climate change.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increasing and rapidly evolving concerns over the risks of climate change and related environmental sustainability matters. Our operations, business, and future customers could be adversely affected by climate change. The physical risks of climate change include rising average global temperatures, rising sea levels and an increase in the frequency and severity of extreme weather events and natural disasters. Such events and disasters could disrupt our operations or the operations of future customers or third parties on which we rely and could result in market volatility. Additionally, we may face risks related to the transition to a low-carbon economy. We could experience increased expenses resulting from strategic planning, litigation and changes to our technology, operations, products and services, access to energy and water, as well as reputational harm as a result of negative public sentiment, regulatory scrutiny and reduced stakeholder confidence, due to our response to climate change or real or perceived vulnerability to climate change-related risks. Changes in consumer preferences, our need to travel internationally and legal requirements could increase expenses or otherwise adversely impact our business, future customers and partners.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and business operations are international in nature, subjecting us to additional risks and costs, including the ability to engage with partners in new geographies, exposure to foreign currency exchange rate fluctuations, that can adversely affect our business, financial condition, revenues, results of operations or cash flows.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begin to generate sales and revenue, we may derive a significant portion of revenue from future international customers. There are a variety of risks and costs associated with international sales and operations, which may include making additional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ability to attract future customers to purchase our software development tools or services is directly correlated to the level of engagement we obtain with future customers. To the extent we are unable to effectively engage with future customers based outside of Singapore and Ireland due to our limited international footprint, we may be unable to effectively grow in international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develop and commercialize our technology, we may need to make additional investments in international markets, and the cost of complying with the local laws and regulations of each country could be significant. Furthermore, the quantum computing industry is still in its early stages of development. We cannot predict the rate at which our platform and solutions will be adopted in international markets, and our business strategy depends on the continued growth and maturity of the global quantum ecosystem.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Given our international presence, we are exposed to the effects of fluctuations in currency exchange rates. While we have primarily transacted in Singapore dollars, we may in the future generate revenues denominated in other currencies. Additionally, fluctuations in the value of the Singapore dollar and foreign currencies may make our products and services more expensive for future customers whose operations are denominated in other currencies, which could harm our business. Additionally, we incur expenses for employee compensation and other operating expenses at our facilities in their respective local currency for such locations. Fluctuations in the exchange rates between the Singapore dollar and other currencies could result in an increase to the Singapore dollar equivalent of such expenses. These fluctuations could cause our results of operations to differ from our expectations or the expectations of our investors. Additionally, such currency exchange rate fluctuations could make it more difficult to detect underlying trends in our business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greater than anticipated tax liabilities. Future changes in tax laws could have a material adverse effect on our business, cash flow, results of operations or financial conditions.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amount of taxes we may pay in different jurisdictions depends on the application of the tax laws of various jurisdictions,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new income, sales, use or other tax laws, statutes, rules, regulation or ordinances could be enacted at any time, or interpreted, changed, modified or applied adversely to us, any of which could adversely affect our business, prospects, financial performance and operating results. In particular, there has been a recent change where the Multinational Enterprise (Minimum Tax) Act 2024 implements the Global Anti-Base Erosion Model Rules (Pillar Two) rules. We are currently unable to predict whether such changes will occur and, if so, the ultimate impact on our business. To the extent that such changes have a negative impact on us, including as a result of related uncertainty, these changes may materially and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Government Regulation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our operation expands, we may be subject to laws and regulations such as the California Consumer Privacy Act, as amended by the California Privacy Rights Act (collectively, the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Virtually every jurisdiction in which we operate has established its own data privacy and security legal framework with which we must comply. For example, we are required to comply with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and its equivalent in the U.K.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announced plans and introduced legislative proposals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Legal developments in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w:t>
      </w:r>
      <w:r>
        <w:rPr>
          <w:rFonts w:ascii="Times New Roman" w:cs="Times New Roman" w:eastAsia="Times New Roman" w:hAnsi="Times New Roman"/>
          <w:sz w:val="18"/>
          <w:szCs w:val="18"/>
          <w:b w:val="1"/>
          <w:bCs w:val="1"/>
          <w:color w:val="auto"/>
        </w:rPr>
        <w:t>SCCs</w:t>
      </w:r>
      <w:r>
        <w:rPr>
          <w:rFonts w:ascii="Times New Roman" w:cs="Times New Roman" w:eastAsia="Times New Roman" w:hAnsi="Times New Roman"/>
          <w:sz w:val="18"/>
          <w:szCs w:val="18"/>
          <w:color w:val="auto"/>
        </w:rPr>
        <w:t>”)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as a Singapore-based company, we are also required to comply with the Singapore Personal Data Protection Act 2012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which governs the collection, use and disclosure of individuals’ personal data and seeks to ensure that organizations comply with a baseline standard of protection for personal data of individuals. The PDPA is administered and enforced by the Personal Data 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The PDPA requires organizations to comply with various obligations regarding the collection, use, disclosure and other processing of personal data and similarly requires organizations to comply with a mandatory breach notification obligation under certain circumstances. In addition, an organization must not transfer personal data to a country or territory outside Singapore except in accordance with the requirements prescribed under the PDPA. In this regard, an organization must ensure that the recipient of the personal data in that country outside Singapore is bound by legally enforceable obligations to provide to the transferred personal data a standard of protection that is at least comparable to the protection under the PDPA. Any improper use or disclosure of personal data and breaches of security leading to disclosure of personal data may also lead to criminal sanctions under the PDPA, reputational damage, and a direct loss of business. It is also important to note that for contraventions of the PDPA, the PDPC is empowered to impose financial penalties of up to S$1 million, or 10% of the organization’s annual turnover in Singapore (for organizations with annual turnover exceeding S$10 million), whichever is higher. The PDPC may publish enforcement decisions, which can have reputational consequences for organizations found to be in breach.</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implemented controls and procedures designed to comply with the requirements of the data privacy and security laws of some of the jurisdictions in which we operate, such procedures and controls may not be effective in ensuring compliance or preventing unauthorized transfers of personal data.</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anti-bribery and similar laws, non-compliance with such laws can subject us to criminal or civil liability and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associated with litigation, investigations and regulatory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 the future face legal, administrative and regulatory proceedings, claims, demands and/or investigations involving stockholder, consumer, competition and/or other issues relating to our business on a global basis, including in connection with the Business Combination.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operating results and financial condition. We may face an inherent risk of exposure to claims in the event our development tools, or their outputs, do not perform as expected or malfunction. A successful product liability claim against us could require us to pay a substantial monetary award. Moreover, a product liability claim could generate substantial negative publicity about our quantum computing software development tools and business and inhibit or prevent the commercialization of other future quantum computers and products,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requirements relating to environmental and safety regulations and environmental remediation matters, which could adversely affect our business, results of operations and reputation.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numerous governmental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use alternative technologies and materials in our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actions and regulations, such as tariffs, trade protection measures and national security concerns may limit our ability to provide products and services to our future customers and obtain products from our suppliers, which could have a material adverse impact on our business operations, financial results and growth plans.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Though we are a Singapore based company, political challenges between the United States and countries in our supply chain, including China, and changes to trade policies, including tariff rates and customs duties, trade relations between the United States and China and other macroeconomic and national security issues could adversely impact our business. Specifically, United States-China trade relations remain uncertain. The United States administration has continued to impose tariffs on certain products imported into the United States with China as the country of origin, and China has imposed tariffs in response to the actions of the United States. The likelihood of a further increase in tariffs on goods from China and the imposition of tariffs on goods sourced from other countries has materially increased in light of comments by the new U.S. presidential administration, which has repeatedly communicated an intention to impose additional duties on imports from China, as well as on imports from other countries. The U.S. government continues to add additional entities, in China and elsewhere, to restricted party lists impacting the ability of U.S. companies to provide products and technology, and, in certain cases, services, to these entities and, in some cases, to receive products, technology or services from these entities. The U.S. government also continues to increase end-use restrictions on the provision of products, technology and services to China and other countries including end-uses related to advanced computing. The new administration in the U.S. has indicated that it will seek to continue to impose tariffs against U.S. trading partners and there may be retaliatory tariffs against the U.S. as a result. These tariffs could adversely impact trade relations and result in higher costs. International trade conflict has contributed to (i) increased pressure on the supply chain and could further result in increased energy costs;</w:t>
      </w:r>
    </w:p>
    <w:p>
      <w:pPr>
        <w:spacing w:after="0" w:line="1" w:lineRule="exact"/>
        <w:rPr>
          <w:sz w:val="20"/>
          <w:szCs w:val="20"/>
          <w:color w:val="auto"/>
        </w:rPr>
      </w:pPr>
    </w:p>
    <w:p>
      <w:pPr>
        <w:jc w:val="both"/>
        <w:ind w:firstLine="8"/>
        <w:spacing w:after="0" w:line="251" w:lineRule="auto"/>
        <w:tabs>
          <w:tab w:leader="none" w:pos="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which could result in increases in the cost of developing our products, reduced purchasing power, increased price pressure and reduce or cancelled orders; (iii) increased risk of cybersecurity attacks; and (iv) general market instability, all of which could adversely impact our business, operating results and financial condition. There is also a possibility of future tariffs, trade protection measures or other restrictions imposed on our products or on our future customers by the United States, China or other countries that could have a material adverse effect on our business. In addition, the Chinese government exercises significant control over China’s economy through the allocation of resources, control of the incurrence and payment of foreign currency-denominated obligations, setting of monetary policy and provision of preferential treatment to particular industries or companies. Changes in any of these policies, laws and regulations could adversely affect the overall economy in China or any indirect Chinese suppliers our supply chain may be exposed to, which could harm our business through higher supply costs, reduced availability or both.</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Given the relatively fluid regulatory environment and existing national security concerns in China and the United States and uncertainty regarding how the U.S. government or Chinese and other foreign governments will act with respect to tariffs and international trade agreements and policies, a trade war, further governmental action related to tariffs or international trade policies, or additional tax or other regulatory changes in the future could directly and adversely impact our financial results and results of operations. We cannot predict what actions may ultimately be taken with respect to trade relations between the United States and China or other countries, what products may be subject to such actions or what actions may be taken by the other countries in retaliation. If we are unable to obtain or use components for inclusion in our products, if component prices increase significantly or if we are unable to export or sell our products to any of our future customers, our business, liquidity, financial condition and/or results of operations would be materially and adversely affected.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Global trade policy continues to evolve, and the ultimate impact of recent developments with respect to U.S. tariffs is unclear. On February 20, 2026, the United States Supreme Court issued a ruling striking down certain tariffs previously imposed under the International Emergency Economic Powers Act (“</w:t>
      </w:r>
      <w:r>
        <w:rPr>
          <w:rFonts w:ascii="Times New Roman" w:cs="Times New Roman" w:eastAsia="Times New Roman" w:hAnsi="Times New Roman"/>
          <w:sz w:val="18"/>
          <w:szCs w:val="18"/>
          <w:b w:val="1"/>
          <w:bCs w:val="1"/>
          <w:color w:val="auto"/>
        </w:rPr>
        <w:t>IEEPA</w:t>
      </w:r>
      <w:r>
        <w:rPr>
          <w:rFonts w:ascii="Times New Roman" w:cs="Times New Roman" w:eastAsia="Times New Roman" w:hAnsi="Times New Roman"/>
          <w:sz w:val="18"/>
          <w:szCs w:val="18"/>
          <w:color w:val="auto"/>
        </w:rPr>
        <w:t>”).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These and future changes in tariffs, trade policies, trade actions, or retaliatory trade measures in response, have resulted and may continue to result in additional costs and pricing pressures, supply chain disruptions, volatile or unpredictable customer spending patterns, and increased economic or geopolitical risks, which could adversely impact our future sales, business, financial condition, and results of operations, materially or in ways that we cannot predict.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losses during our history; we do not expect to become profitable in the near future, and we may never achieve profitability. To the extent that we continue to generate taxable losses, unused losses will carry forward to offset future taxable income, if any, until such unused losses expire, if at all. As of December 31, 2025 and 2024, we had net operating loss carryforwards of approximately S$30.2 million and S$17.5 million,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current federal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Horizon’s unutilized tax losses in Singapore can be carried forward indefinitely and are available for set-off against future taxable income, subject to compliance with the provisions of Section 37 of the Income Tax Act 1947 of Singapore (the “</w:t>
      </w:r>
      <w:r>
        <w:rPr>
          <w:rFonts w:ascii="Times New Roman" w:cs="Times New Roman" w:eastAsia="Times New Roman" w:hAnsi="Times New Roman"/>
          <w:sz w:val="18"/>
          <w:szCs w:val="18"/>
          <w:b w:val="1"/>
          <w:bCs w:val="1"/>
          <w:i w:val="1"/>
          <w:iCs w:val="1"/>
          <w:color w:val="auto"/>
        </w:rPr>
        <w:t>Singapore Income Tax Act</w:t>
      </w:r>
      <w:r>
        <w:rPr>
          <w:rFonts w:ascii="Times New Roman" w:cs="Times New Roman" w:eastAsia="Times New Roman" w:hAnsi="Times New Roman"/>
          <w:sz w:val="18"/>
          <w:szCs w:val="18"/>
          <w:color w:val="auto"/>
        </w:rPr>
        <w:t>”) and with the agreement of the Comptroller of Income Tax. In the event that (i) we are not able to comply with the relevant requirements of Section 37 of the Singapore Income Tax Act, including without limitation, there not having been any substantial change in the shareholders of Horizon and their shareholdings and there not having been any change in Horizon’s principal activities; and/or (ii) we are not able to obtain the Comptroller of Income Tax’s agreement for the carrying forward of unutilized tax losses, at the relevant time in the future, we may not be able to set-off such losses against future taxable income.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earn taxable income, such limitations will most likely result in increased future income tax liability and have an adverse effect on our future cash flows. We have recorded a valuation allowance related to our net operating loss carryforwards and other deferred tax assets due to the uncertainty of the ultimate realization of the future benefits of those assets.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existing and changing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securities laws and tax laws and regulations. Increased scrutiny may also lead to new laws and regulations, or new applications of existing laws and regulations, that target topics such as AI, critical infrastructure software resiliency and concentration risk. Noncompliance by us, our employees, representatives, contractors, agents, intermediaries, or other third parties with applicable regulations or requirements could subject us to:</w:t>
      </w:r>
    </w:p>
    <w:p>
      <w:pPr>
        <w:spacing w:after="0" w:line="18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future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potential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as laws and regulations change in the jurisdictions in which we operate, we may be required to change our procedures, policies and products to ensure compliance with potential changes. Should this occur, the costs of compliance with and other burdens imposed by, industry-specific laws, regulations and interpretive positions may limit our future customers’ use and adoption of our services and reduce overall demand for our services. Compliance with these regulations may also require us to devote greater resources to support certain future customers, which may increase costs and lengthen sales cycles.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maintain and protect our intellectual property rights and proprietary information such as if the scope of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intellectual property is important to our business. We rely on a combination of confidentiality clauses, assignment agreements and license agreements with employees and third parties, patents, trade secrets, copyrights and trademarks to protect our intellectual property and competitive advantage, all of which offer only limited protection. The steps we take to protect our intellectual property require significant resources and may be inadequate. We will not be able to protect our intellectual property if we are unable to enforce our rights or if we do not detect unauthorized use of our intellectual property. We may be required to use significant resources to obtain, monitor and protect our intellectual property. Despite our precautions, it may be possible for unauthorized third parties to copy our platform and our products and use information that we regard as proprietary to create products and services that compete with ours. Some license provisions protecting against unauthorized use, copying, transfer and disclosure of our proprietary information may be unenforceable under the laws of certain jurisdictions and foreign countries. In addition, we may not be able to acquire or maintain appropriate domain names in all countries in which we do business or prevent third parties from acquiring domain names that are similar to, infringe upon, diminish the value of our trademarks and other intellectual property. Furthermore, regulations governing domain names may not protect our trademarks or similar proprietary rights.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 into confidentiality and intellectual property agreements with our employees and consultants and enter into confidentiality agreements with the parties with whom we have strategic relationships and business alliances. These agreements may not be effective in securing ownership of our intellectual property or controlling access to our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technology that is substantially equivalent or superior to our technology. In addition, others may independently discover our trade secrets and confidential information, and in such cases, we likely would not be able to assert any trade secret rights against such parties. Additionally, we may from time to time be subject to opposition or similar proceedings with respect to applications for registrations of our intellectual property, including our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intellectual property rights or technology or otherwise develop services with the same or similar functionality as our platform and products. If our competitors infringe, misappropriate, or otherwise misuse our intellectual property rights and we are not adequately protected, or if our competitors are able to develop a platform or product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enforce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platform, prevent or delay introductions of new or enhanced solutions, result in our substituting inferior or more costly technologies into our platform or injure our reputation. Furthermore, many of our current and potential competitors have the ability to dedicate substantially greater resources to developing and protecting their technology or intellectual property rights than we do.</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intellectual property rights, including patents and trademarks, are territorial in scope and enforceable only in the jurisdictions in which they are registered. Therefore, we may be unable to prevent infringement or unauthorized use of our intellectual property in countries where we do not hold valid registrations. Securing and maintaining protection in each and every jurisdiction in which we currently operate, or may operate in the future, is costly and may not be practicable. This limitation could affect our ability to enforce our rights globally, particularly in jurisdictions with weak intellectual property enforcement regimes or where third parties have already obtained similar prior rights.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result in issued patents or our patent rights may be contested, circumvented, invalidated or limited in scope, any of which could have a material adverse effect on our ability to prevent others from interfering with the commercialization of our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any patent applications we have or will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In addition to those who may have patents or patent applications directed to relevant technology with an effective filing date earlier than any of our existing patents or pending patent applications,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United States patents will be issued.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are issued from our pending applications. In addition, patents issued to us may be infringed upon or designed around by others and others may obtain patents that they need to license or design around, either of which would increase costs and may adversely affect our business, prospects,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patent infringement and other intellectual property claims that could be costly to defend, result in injunctions and significant damage awards or other costs. If third parties claim that we infringe upon or otherwise violate their intellectual property rights, our business could be adversely affected.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computing and software industries are characterized by the existence of a large number of patents and frequent claims and related litigation regarding patents, copyright and other intellectual property rights. Third parties may assert that our platform, solutions, technology, methods or practices infringe, misappropriate or otherwise violate their intellectual property. We face the risk of claims that we have infringed upon or otherwise violated third parties’ intellectual property rights. Our future success depends in part on not infringing upon or otherwise violating the intellectual property rights of others. From time to time, our competitors or other third parties may claim that we are infringing upon or otherwise violating their intellectual property rights, and we may be found to be infringing upon or otherwise violating such rights. We may be unaware of the intellectual property rights of others that may cover some or all of our technology or conflict with our trademark rights. Any claims of intellectual property infringement or other intellectual property violations, even those without merit, could:</w:t>
      </w:r>
    </w:p>
    <w:p>
      <w:pPr>
        <w:spacing w:after="0" w:line="19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our platform or products that incorporate the challenged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modify, redesign, reengineer or rebrand our platform or products, if feasible;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significant delays in introducing new or enhanced services or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and resources;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royalty or licensing agreements, if required, may not be available to us on acceptable terms or at all. A successful claim of infringement against us could result in our being required to pay significant damages, enter into costly settlement agreements, or prevent us from offering our platform or products, any of which could have a negative impact on our operating profits and harm our future prospects. We may also be obligated to indemnify our future customers or business partners in connection with any such litigation and to obtain licenses, modify our platform or products, or refund subscription fees, which could further exhaust our resources. Such disputes could also disrupt our platform or products, adversely affecting our future customer satisfaction and ability to attract potential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open-source software in our systems. If licensing terms change, our business may be adversely affected.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open-source software to avoid subjecting our platform to conditions we do not intend to attach to such a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Business Combination, our only significant asset is our ownership of Horizon, and such ownership may not be sufficient to pay dividends or make distributions or obtain loans to enable us to pay any dividends on our Company Shares, pay our expenses or satisfy other financial obligations.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Closing of the Business Combination, we are a holding company and do not directly own any assets other than our ownership of interests in Horizon and DMY. We depend on Horizon for distributions, loans and other payments to generate the funds necessary to meet our financial obligations, including expenses we incur as a publicly traded company, and to pay any dividends. The earnings from, or other available assets of, Horizon may not be sufficient for us to make distributions or pay dividends, pay expenses or satisfy our other financial obligations.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higher costs post-Business Combination as a result of increased legal and regulatory scrutiny associated with being a public company. Our management will be required to devote substantial time to comply with a public company’s responsibilities and corporate governance practices.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incur significant additional legal, accounting, insurance and other expenses, including costs associated with public company reporting requirements following the Closing of our Business Combination. We will incur higher costs associated with complying with the requirements of the Exchange Act, the Sarbanes-Oxley Act, the Dodd-Frank Wall Street Reform and Consumer Protection Act of 2010 and related rules implemented by the SEC and Nasdaq. The expenses incurred by public companies generally for reporting and corporate governance purposes have been increasing. Additionally, we may need to further develop our reporting and compliance infrastructure and may face challenges in complying with new requirements that may become applicable to us over time. If we fall out of compliance, we risk becoming subject to litigation or being delisted, among other potential problems.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these laws and regulations to increase our legal and financial compliance costs and to render some activities more time-consuming and costly, although we are currently unable to estimate these costs with any degree of certainty. Our management and other personnel are not experienced in managing a public company and will be required to devote a substantial amount of time to compliance with these requirements. We may need to hire more employees or engage outside consultants to comply with these requirements, which will increase our costs and expenses. These laws and regulations could make it more difficult or costly for us to obtain certain types of insurance, including directors’ and officers’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or Board committees or serve as our executive officers.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past, shareholders of some public companies brought securities class action suits following periods of instability in the market price of these companies’ securities. Our involvement in a class action suit could divert a significant amount of our management’s attention and other resources from our business, which could harm our results of operations and require us to incur significant expenses to defend the suit.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class action suit, whether or not successful, could harm our reputation and restrict our ability to raise capital in the future. In addition, if a claim is successfully made against us, we may be required to pay significant damages, which could materially adversely affect our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and operating a U.S. public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team has limited experience managing and operating a U.S. publicly traded company, interacting with U.S. public company investors, and complying with the increasingly complex laws pertaining to U.S. public companies. We are subject to significant regulatory oversight and reporting obligations under the U.S. federal securities laws and the continuous scrutiny of securities analysts and investors. These obligations and constituents will require significant attention from our senior management and could divert their attention away from the day-to-day management of our business. We may not have adequate personnel with the appropriate level of knowledge, experience and training in the accounting policies, practices or internal controls over financial reporting required of U.S. public companies. The development and implementation of the standards and controls necessary for us to achieve the level of accounting standards required of a public company may require costs greater than expected. To support our operations as a U.S. public company, we plan to recruit additional qualified employees or external consultants with relevant experience, which will increase our operating costs in future periods. Notwithstanding these efforts, should the factors described previously materialize, our business, financial condition and results of operations could be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Company Class A Shares and Company Public Warrants.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currently expects that securities research analysts will establish and publish their own periodic projections for our business. These projections may vary widely and may not accurately predict our actual results. Trading prices of our Company Class A Shares and Company Public Warrants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While our management expects research analyst coverage, if no analysts commence coverage of us or if one or more analysts cease coverage, the trading price and volume for our Company Class A Shares and Company Public Warrants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in the foreseeable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decision to declare and pay dividends in the future will be made at the discretion of our Board and will depend on, among other things, applicable law, regulations, restrictions, our results of operations, financial condition, cash requirements, contractual restrictions, our future projects and plans and other factors that the our Board may deem relevant. In addition, our ability to pay dividends depends significantly on the extent to which we receive dividends from Horizon and there can be no assurance that Horizon will pay dividends. As a result, capital appreciation, if any, of our Company Class A Shares and Company Warrants will be an investor’s sole source of gain for the foreseeable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financial information included in this prospectus.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included in this prospectus is presented for illustrative purposes only and is not necessarily indicative of what our actual financial position or results of operations would have been had the Business Combination been completed on the dates indicated, or our future consolidated results of operations or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face difficulties enforcing foreign court judgments against 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substantially all of our assets are located in Singapore and Ireland. It may be difficult for investors to enforce against us judgments obtained from courts outside these jurisdictions with regard to any actions pertaining to our assets located in those jurisdictions.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certain of our directors and officers are residents of Singapore and Ireland, and the majority of the assets of such persons are located in those countries. As a result, it may be difficult for investors to effect service of process upon our directors and officers who reside in Singapore and Ireland, or to enforce against them judgments obtained in courts outside Singapore and Ireland predicated upon the laws of jurisdictions other than Singapore and Ireland. Furthermore, not all jurisdictions in which we operate are parties to the New York Convention on the Recognition and Enforcement of Foreign Arbitral Awards. While some have bilateral treaties concerning the recognition and enforcement of foreign court judgments, they are not parties to any other multinational treaties in this regard. A civil judgment or decision from a foreign court is enforceable in certain countries only if there is a treaty between the countries, a reciprocal agreement, or if it is permitted by the domestic laws of the enforcing country. Certain countries, such as Singapore and Ireland, may establish grounds for their domestic courts to refuse the recognition and enforcement of foreign judgments, decisions, or even foreign arbitral awards.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A&amp;R Constitution may inhibit a takeover of us, which could limit the price investors might be willing to pay in the future for our securities and could entrench management.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A&amp;R Constitution (“</w:t>
      </w:r>
      <w:r>
        <w:rPr>
          <w:rFonts w:ascii="Times New Roman" w:cs="Times New Roman" w:eastAsia="Times New Roman" w:hAnsi="Times New Roman"/>
          <w:sz w:val="18"/>
          <w:szCs w:val="18"/>
          <w:b w:val="1"/>
          <w:bCs w:val="1"/>
          <w:color w:val="auto"/>
        </w:rPr>
        <w:t>A&amp;R Constitution</w:t>
      </w:r>
      <w:r>
        <w:rPr>
          <w:rFonts w:ascii="Times New Roman" w:cs="Times New Roman" w:eastAsia="Times New Roman" w:hAnsi="Times New Roman"/>
          <w:sz w:val="18"/>
          <w:szCs w:val="18"/>
          <w:color w:val="auto"/>
        </w:rPr>
        <w:t>”) contains provisions that may discourage unsolicited takeover proposals that our shareholders may consider to be in their best interests. Among other provisions, subject to the right of our shareholders as specified in our A&amp;R Constitution and applicable laws, our Board has the authority, without further action by its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Company Class A Shares. Subject to applicable laws, preferred shares could be issued quickly with terms calculated to delay or prevent a change in our control or make removal of management more difficult. However, under Singapore law, our Board may only exercise these rights and powers granted to them under our A&amp;R Constitution for a proper purpose and for what they believe in good faith to be in our best interests.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the Sponsor and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Provisions in our A&amp;R Constitution provide that we will indemnify our directors and officers. Additionally, we entered into the Sponsor Indemnification Agreement with the Sponsor and Indemnification Agreements with our officers and directors at the Closing. While we have procured directors’ and officers’ liability insurance policies which cover our directors and officers, such insurance policies may not be available to us in the future at a reasonable rate and may not cover all potential claims for indemnification.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SEC reporting requirements applicable to emerging growth companies will make our Company Class A Shares less attractive to investors, which could have a material and adverse effect on us, including our growth prospects.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w:t>
      </w:r>
    </w:p>
    <w:p>
      <w:pPr>
        <w:spacing w:after="0" w:line="27" w:lineRule="exact"/>
        <w:rPr>
          <w:sz w:val="20"/>
          <w:szCs w:val="20"/>
          <w:color w:val="auto"/>
        </w:rPr>
      </w:pPr>
    </w:p>
    <w:p>
      <w:pPr>
        <w:jc w:val="both"/>
        <w:ind w:firstLine="8"/>
        <w:spacing w:after="0" w:line="252" w:lineRule="auto"/>
        <w:tabs>
          <w:tab w:leader="none" w:pos="22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DMY’s initial public offering, (b) in which we have total annual gross revenue of at least $1.235 billion or (c) in which we are deemed to be a large accelerated filer, which means the market value of our Company Class A Shares held by non-affiliates exceeds $700 million as of the last business day of our prior second fiscal quarter, and (ii) the date on which we have issued more than $1.0 billion in non-convertible debt during the prior three-year period. We intend to take advantage of exemptions from various reporting requirements that are applicable to most other public companies that are classified as “emerging growth companies,” including, but not limited to, an exemption from the provisions of Section 404(b) of the Sarbanes-Oxley Act requiring that our independent registered public accounting firm provide an attestation report on the effectiveness of its internal control over financial reporting and reduced disclosure obligations regarding executive compensation.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the sections of the Exchange Act creating liability for insiders who profit from trades made in a short period of time; and the rules under the Exchange Act requiring the filing with the SEC of quarterly reports on Form 6-K containing unaudited financial and other specified information,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deem important. We cannot predict if investors will find our Company Class A Shares less attractive because it relies on these exemptions. If some investors find our Company Class A Shares less attractive as a result, there may be a less active trading market and share price for our Company Class A Shares may be more volatile.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under the rules and regulations of the SEC, we are permitted to file less or different information with the SEC than a company incorporated in the United States or otherwise subject to these rules and is permitted to follow certain home-country corporate governance practices in lieu of certain Nasdaq requirements applicable to U.S. issuers.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considered a “foreign private issuer” under the Exchange Act and are therefore exempt from certain rules under the Exchange Act, including the proxy rules, which impose certain disclosure and procedural requirements for proxy solicitations for U.S. and other issuers. Moreover, we are not required to file periodic reports and financial statements with the SEC as frequently or within the same time frames as U.S. companies with securities registered under the Exchange Act, although we may elect to file certain periodic reports and financial statements with the SEC on a voluntary basis on the forms used by U.S. domestic issuers. We are not required to comply with Regulation FD, which imposes restrictions on the selective disclosure of material information to shareholders. In addition, our officers, directors and principal shareholders are exempt from the short-swing profit recovery provisions of Section 16 of the Exchange Act and the rules under the Exchange Act with respect to their purchases and sales of our securities.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as a “foreign private issuer”, we are permitted to follow certain home-country corporate governance practices in lieu of certain Nasdaq requirements. A foreign private issuer must disclose in its Annual Reports filed with the SEC each Nasdaq requirement with which it does not comply followed by a description of its applicable home country practice. We cannot give any assurances that we will continue to follow such corporate governance requirements in the future, and may therefore in the future rely on available Nasdaq exemptions that would allow us to follow our home country practice. Unlike the requirements of Nasdaq, we are not required, under the corporate governance practice and requirements in Singapore for companies that are not listed on the Singapore Exchange, to have our board consist of a majority of independent directors, nor are we required to have a compensation committee or a nominating and corporate governance committee consisting entirely of independent directors, or have regularly scheduled executive sessions with only independent directors each year. Such Singapore home country practices for companies that are not listed on the Singapore Exchange may afford less protection to holders of our Company Class A Shares. Notwithstanding the foregoing, we do not intend to rely on any foreign private issuer exemptions at this time.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lose our status as a “foreign private issuer” under current SEC rules and regulations if more than 50% of our outstanding voting securities become directly or indirectly held of record by U.S. holders and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we will be required to file periodic reports and annual and quarterly financial statements as if we were a company incorporated in the United States. If this were to happen, we would likely incur substantial costs in fulfilling these additional regulatory requirements and members of our management would likely have to divert time and resources from other responsibilities to ensuring these additional regulatory requirements are fulfilled.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Joseph Fitzsimons, our chief executive officer and Chairman of our Board, beneficially own approximately 38.3% of our outstanding Company Shares and approximately 65.0% of the voting control of the Company as of the Closing of the Business Combination.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our chief executive officer, Joseph Fitzsimons owns 38.3%, of our Company Shares and approximately 65.0% of the voting control of the Company as of the Closing of the Business Combination, he has the power to elect the majority of our directors and to approve any matter which is subject to shareholder approval. In addition, as our chief executive officer, Dr. Fitzsimons has significant authority in the implementation of our business plan. He has also historically been responsible for our product development and our present products have been the result of his research and development efforts. Dr. Fitzsimons’ interests may be different from our interests. Because of Dr. Fitzsimons’ conflict of interest, there is a risk that any actions he may take may have an adverse effect upon the success and development of our business and the price of our Company Class A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voting power of Dr. Fitzsimons, investors will have little, if any, power to influence our business or to approve any action submitted to shareholders for their approval. The fact that he has a controlling interest in us may, by itself, serve as a deterrent to any person seeking to obtain control of us or to enter into any business relationship which might be beneficial to the minority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share structure with different voting rights will limit your ability to influence corporate matters and could discourage others from pursuing any change of control transactions that holders of our Company Class A Shares may view as beneficial.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dual class share structure such that our Company Shares consist of Company Class A Shares and Company Class B Shares. In respect of matters requiring the votes of shareholders, each Company Class A Ordinary Share is entitled to one vote and each Company Class B Ordinary Share is entitled to three (3) votes. The holder of Company Class B Shares would have the right to convert each Company Class B Ordinary Share into one Company Class A Ordinary Share at any time, at the election of the holder of Company Class B Shares. Upon any sale, assignment, transfer, pledge or other disposition of the Company Class B Shares, whether or not for value and whether or not voluntary or involuntary (with certain customary exceptions), such Company Class B Shares will automatically be converted into Company Class A Shares at an initial conversion rate of one to one, subject to adjustment by our Board. Additionally, all outstanding Company Class B Shares will automatically be converted into Company Class A Shares at an initial conversion rate of one to one, subject to adjustment by our Board, as follows: (x) at 5:00 p.m., Singapore time, on the first day following the date on which Dr. Fitzsimons is no longer serving as one of our directors or officers, (y) the death or incapacity of Dr. Fitzsimons, and (z) such time as the number of outstanding Company Class B Shares is less than 50% of the total number of Company Class B Shares outstanding as of immediately following the Amalgamation (as equitably adjusted for share splits, reverse share splits, share dividends, reorganizations, consolidations, exchanges of shares or other similar transactions). The Company Class B Shares are also convertible into an equal number of Company Class A Shares at any time at the option of the holder.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Company Class A Shares are not convertible into Company Class B Shares under any circumstances. The holder of Company Class B Shares will, subject to applicable laws, have the ability to control matters requiring shareholders’ approval, including any amendment of the organizational documents. Any future issuances of Company Class B Shares may be dilutive to the voting power of holders of Company Class A Shares. Any conversions of Company Class B Shares into Company Class A Shares may dilute the percentage ownership of the existing holders of Company Class A Shares within their class of Company Shares. Such conversions may increase the aggregate voting power of the existing holders of Company Class A Shares. Future issuances of Company Class B Shares may also be dilutive to holders of Company Class B Shares.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dual class share structure and the concentration of ownership, Dr. Fitzsimons, the sole beneficial owner of Company Class B Shares, has considerable influence over decision-making with respect to our business direction and policies. Subject to applicable laws, matters over which the Dr. Fitzsimons will, directly or indirectly, exercise significant influence include: (i) increases or decreases in the size of the Board and the election of the directors of the Board; (ii) amendments of the organizational documents; and (iii) approval of other major corporate transactions, such as merger, consolidation, or sale of assets. This disparate voting rights structure may have anti-takeover effects, and may discourage, delay or prevent a change in our control, which could have the effect of depriving other shareholders of the opportunity to receive a premium for their Company Class A Shares or Company Class A Shares as part of a sale of us and may reduce the price of Company Shares.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may rely on exemptions from certain corporate governance requirements that provide protection to shareholders of other companies.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being a foreign private issuer, we are a “controlled company” as defined under the Nasdaq rules, because Dr. Fitzsimons beneficially owns approximately 65.0% of our voting power. Such controlling interest beneficially owned by Dr. Fitzsimons allows him to indirectly control, subject to applicable laws, matters submitted to the shareholders for vote. For as long as we remains a controlled company under that definition, we are permitted to elect to rely, and may rely, on certain exemptions from corporate governance rules, including an exemption from the rule that a majority of the our Board must consist of independent directors, that we have to establish a compensation committee composed entirely of independent directors or that we have independent director oversight of director nominations. However, we do not intend to rely on any controlled company exemptions at this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securities or warrants exercisable for our Company Class A Shares may depress our stock price.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Company Class A Shares or securities convertible into our Company Class A Shares in the public market, or the perception that these sales could occur, could adversely affect the market price of our common stock and could materially impair our ability to raise capital through equity offerings in the future.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Closing of the Business Combination, 6,044,160 Company Class A Shares are issuable upon the exercise of 6,044,160 outstanding Company Warrants, and 5,983,204 Company Class A Shares are issuable upon the exercise of 5,983,204 Company Options. We may file a registration statement to register shares reserved for future issuance under our 2026 Plan (as defined below) and ESPP (as defined below). Subject to the satisfaction of applicable vesting requirements and expiration of lock-up periods discussed below, the shares issued upon exercise of outstanding stock options would be available for immediate resale in the open market.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41,793,891 shares are subject to contractual lock-up obligation pursuant to the Lock-Up Agreement (as defined below). When the applicable lock-up periods expire, our security holders subject to lock-up provisions will be able to sell Company Class A Shares in the public market. Sales of a substantial number of such shares upon expiration of the lock-up provisions, the perception that such sales may occur or early release of these lock-up provisions could cause our market price to fall or make it more difficult for our security holders to sell the Company Class A Shares they hold at a time and price that they deem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Company Class A Shares. Such a delisting would likely have a negative effect on the price of our Company Class A Shares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Company Class A Shares, prevent our Company Class A Shares from dropping below the Nasdaq minimum bid price requirement or prevent future non-compliance with Nasdaq’s listing requirements.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Company Class A Shares and Company Public Warrants may not develop, which may limit your ability to sell our Company Class A Shares or Company Public Warrants.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completion of the Business Combination, there was no public market for our Company Class A Shares or Company Public Warrants. Although we have listed our Company Class A Shares and Company Public Warrants on Nasdaq under the ticker symbols “HQ” and “HQWWW,” respectively, an active trading market for our Company Class A Shares or Company Public Warrants may never develop or be sustained.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Company Class A Shares and Company Public Warrants. An inactive market may also impair our ability to raise capital to continue to fund operations by issuing Company Class A Shares and Company Public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 and the value of our securities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prices at which our securities will trade. The market price of our securities may fluctuate substantially. In addition, the trading price of our securities could be subject to fluctuations in response to various factors, some of which are beyond our control. These fluctuations could cause you to lose all or part of your investment. Factors that could cause fluctuations in the trading price of our securities include the following:</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by our shareholders or warrant holders, as well as the anticipation of lockup releases;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breaches of disruptions to or other incidents involving our information technology systems or those of its business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material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global pandemics or responses to these events.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Short sellers may engage in manipulative activity intended to drive down the market price of our Company Class A Shares, which could also result in related regulatory and governmental scrutiny, among other effects.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Company Class A Shares for the price to decline. At any time, short sellers may publish, or arrange for the publication of, opinions or characterizations that are intended to create negative market momentum. We may be vulnerable to such short seller attacks as a result of our limited public float following the Closing. Short selling reports may cause increased volatility in our stock price, and result in regulatory and governmental inquiries. Any inquiry or formal investigation from a governmental organization or other regulatory body, including any inquiry from the SEC or the U.S. Department of Justice, could result in a material diversion of our management’s time and could have a material adverse effect on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Warrant Assumption Agreement relating to the Company Warrants provides that we have agreed that any action, proceeding or claim against it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our Company Warrant holders’ ability to obtain what they believe to be a favorable judicial forum for disputes related to the Warrant Assumption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warrant assumption and amendment agreement through an assumption of and amendment to the existing warrant agreement entered into by DMY and the warrant agent in connection with DMY’s IPO (the “</w:t>
      </w:r>
      <w:r>
        <w:rPr>
          <w:rFonts w:ascii="Times New Roman" w:cs="Times New Roman" w:eastAsia="Times New Roman" w:hAnsi="Times New Roman"/>
          <w:sz w:val="18"/>
          <w:szCs w:val="18"/>
          <w:b w:val="1"/>
          <w:bCs w:val="1"/>
          <w:color w:val="auto"/>
        </w:rPr>
        <w:t>Warrant Assumption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”).The Warrant Assumption Agreement provides that any action, proceeding or claim against us arising out of or relating in any way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the Warrant Assumption Agreement does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Warrant Assumption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our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exclusive forum provision in the Warrant Assumption Agreement may limit a shareholder’s ability to bring a claim in a judicial forum that it finds favorable for disputes related to the Warrant Assumption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Company Warrants prior to their exercise at a time that is disadvantageous to you, thereby making your Company Warrants worthless.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the ability to redeem the outstanding Company Public Warrants at any time after they become exercisable and prior to their expiration, at a price of $0.01 per warrant, provided that the closing price of our Company Class A Shares equals or exceeds $18.00 per share (as adjusted for adjustments to the number of shares issuable upon exercise or the exercise price of a warrant as described below in the section entitled “</w:t>
      </w:r>
      <w:r>
        <w:rPr>
          <w:rFonts w:ascii="Times New Roman" w:cs="Times New Roman" w:eastAsia="Times New Roman" w:hAnsi="Times New Roman"/>
          <w:sz w:val="18"/>
          <w:szCs w:val="18"/>
          <w:i w:val="1"/>
          <w:iCs w:val="1"/>
          <w:color w:val="auto"/>
        </w:rPr>
        <w:t>Description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 Company Public Warrants</w:t>
      </w:r>
      <w:r>
        <w:rPr>
          <w:rFonts w:ascii="Times New Roman" w:cs="Times New Roman" w:eastAsia="Times New Roman" w:hAnsi="Times New Roman"/>
          <w:sz w:val="18"/>
          <w:szCs w:val="18"/>
          <w:color w:val="auto"/>
        </w:rPr>
        <w:t>”) for any 20 trading days within a 30 trading-day period ending on the third trading day prior to proper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redemption and provided that certain other conditions are met. If and when the Company Public Warrants become redeemable by us, we may exercise our redemption right even if we are unable to register or qualify the underlying securities for sale under all applicable state securities laws. As a result, we may redeem the Company Public Warrants as set forth above even if the holders are otherwise unable to exercise the Company Public Warrants. Redemption of the outstanding warrants could force holders of the Company Public Warrants to (i) exercise the Company Public Warrants and pay the exercise price therefor at a time when it may be disadvantageous for them to do so, (ii) sell the Company Public Warrants at the then-current market price when they might otherwise wish to hold the Company Public Warrants or (iii) accept the nominal redemption price which, at the time the outstanding Company Public Warrants are called for redemption, we expect would be substantially less than the market value of the Company Public Warrants. As of the date of this prospectus, our Company Class A Shares have never traded above $18.00 per share, therefore neither current nor recent share prices meet or exceed the threshold that would allow us to redeem the Company Public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the ability to redeem the outstanding Company Public Warrants at any time after they become exercisable and prior to their expiration, at a price of $0.10 per warrant upon a minimum of 30 days’ prior written notice of redemption provided that the closing price of our Company Class A Shares equals or exceeds $10.00 per share (as adjusted for adjustments to the number of shares issuable upon exercise or the exercise price of a warrant as described below in the section entitled “</w:t>
      </w:r>
      <w:r>
        <w:rPr>
          <w:rFonts w:ascii="Times New Roman" w:cs="Times New Roman" w:eastAsia="Times New Roman" w:hAnsi="Times New Roman"/>
          <w:sz w:val="18"/>
          <w:szCs w:val="18"/>
          <w:i w:val="1"/>
          <w:iCs w:val="1"/>
          <w:color w:val="auto"/>
        </w:rPr>
        <w:t>Description of our Securities – Company Public Warrants</w:t>
      </w:r>
      <w:r>
        <w:rPr>
          <w:rFonts w:ascii="Times New Roman" w:cs="Times New Roman" w:eastAsia="Times New Roman" w:hAnsi="Times New Roman"/>
          <w:sz w:val="18"/>
          <w:szCs w:val="18"/>
          <w:color w:val="auto"/>
        </w:rPr>
        <w:t>”) for any 20 trading days within a 30 trading-day period ending on the third trading day prior to proper notice of such redemption and provided that certain other conditions are met, including that holders will be able to exercise their warrants prior to redemption for a number of Company Class A Shares determined based on the redemption date and the fair market value of Company Class A Shares.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Company Class A Shares received is capped at 0.361 Company Class A Ordinary Share per warrant (subject to adjustment) irrespective of the remaining life of the warrants. In addition, such redemptions may occur at a time when the Company Public Warrants are “out-of-the-money,” in which case holders thereof would lose any potential embedded value from a subsequent increase in the value of the Company Class A Shares had such Company Public Warrants remained outstanding.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Sponsor Warrants will be redeemable by us so long as they are held by the Sponsor or its permitted transferees.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Warrants will be recognized and accounted for as derivative liabilities in accordance with ASC 815 and will be recorded at fair value upon issuance with changes in fair value each period reported in earnings, which may have an adverse effect on the market price of the Company Class A Shares.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guidance contained in ASC 815-40 provides that because the Company Warrants do not meet the criteria for equity treatment thereunder, each warrant must be recorded as a liability. Accordingly, we classify each of the Company Warrants as a liability at its fair value as determined by us based upon a valuation report obtained from an independent third party valuation firm. At each reporting period (1) the accounting treatment of the Company Warrants will be re-evaluated for proper accounting treatment as a liability or equity and (2) the fair value of the liability of the Company Warrants is remeasured and the change in the fair value of the liability is recorded as other income (expense) in our income statement. Changes in the inputs and assumptions for the valuation model we use to determine the fair value of such liability may have a material impact on the estimated fair value of the embedded derivative liability. The share price of our Company Class A Shares represents the primary underlying variable that will impact the value of the derivative instruments. Additional factors that may impact the value of the derivative instruments include the volatility of our share price, discount rates and stated interest rates. As a result, our financial statements and results of operations will fluctuate quarterly, based on various factors, such as the share price of the Company Class A Shares, many of which are outside of our control. In addition, we may change the underlying assumptions used in our valuation model, which could in result in significant fluctuations in our results of operations. If our share price is volatile, we expect that we will recognize non-cash gains or losses on our warrants or any other similar derivative instruments each reporting period and that the amount of such gains or losses could be material. The impact of changes in fair value on earnings may have an adverse effect on the market price of our Company Class A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additional share capital in connection with financings, acquisitions, investments, or otherwise will dilute all other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issue additional share capital in the future that will result in dilution to all other shareholders. We may raise capital through equity financings in the future. As part of our business strategy, we may acquire or make investments in companies, solutions or technologies and issue equity securities to pay for any such acquisition or investment. Any such issuances of the additional share capital may cause shareholders to experience significant dilution of their ownership interests and the per share value of the Company Shares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Investments in Singapore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take-over laws contain provisions which may vary from those in other jurisdictions.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27, 2026, the Securities Industry Council of Singapore (“SIC”) waived the application of the provisions of the Singapore Code on Take-overs and Mergers (the “Singapore Take-over Code”) for us subject to certain exceptions (the “Waiver”). Pursuant to the Waiver, we are exempted from application of the provisions of the Singapore Take-over Code, except in the case of a “tender offer” (within the meaning of U.S. securities laws) where the Tier 1 exemption set forth in Rule 14d-1(c) of the Exchange Act, is available and the offeror relies on such exemption to avoid full compliance with applicable rules and regulations regarding tender offers in the U.S. In connection with the application for the Waiver, our director at the time had submitted to the SIC a written confirmation to the effect that we believe that the application of the U.S. regulatory regime (without concurrent regulation by the Singapore Take-Over Code) would be appropriate and is therefore of the view that it is in our interests that the Waiver be obtained.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provisions of the Singapore Take-Over Code apply, there are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rights, is required to extend a take-over offer for all the relevant class(es) of shares in our capital in accordance with the Singapore Take-Over Code. Except with the consent of the SIC, such a take-over offer is also required to be made if a person holding between 30% and 50% (both inclusive) of our voting rights, either on his own or together with parties acting in concert with him, acquires additional voting shares representing more than 1% of our voting rights in any six-month period. In the case where we have more than one class of equity share capital, a comparable take-over offer must be made for each class of shares in accordance with the Singapore Take-Over Code and the SIC should be consulted in advance in such cases.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Company Shares and the ability to realize any benefit from a potential change of control. In addition, an offeror must treat all shareholders of the same class in an offeree company equally. This concentration of ownership could accelerate, delay, defer or prevent a change in our control or a successful offer under the Singapore Take-Over Code by another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9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we will not receive any proceeds from the sale of the Registered Securities sold by the Selling Securityholders, no further change is disclosed on a pro forma basis to reflect sales of shares pursuant to this prospectus. The likelihood that warrant holders will exercise the Warrants and any cash proceeds that we would receive is dependent upon the market price of our Class A Shares. Based on the closing price of our Class A Shares at US$13.05 on April 20, 2026, which is greater than the exercise price of US$11.50 per share pursuant to the terms of the Company Warrants, we believe holders of the Company Warrants may exercise their Company Warrants, and, if the Company Warrants are exercised on a cash basis, we will receive proceeds from the exercise of Company Warrants. Therefore, proceeds receivable from the exercise of the Company Warrants are also excluded from the adjustments.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the following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total capitalization, on an actual basis, as of December 31,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total capitalization, on an unaudited proforma condensed combined basis, as of December 31, 2025, after giving effect to the Business Combination and the PIPE Private Placement.</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 Class B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(SGD)</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129,968,161</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166,623,608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14,608,305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9,538,520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(77,586,664)</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144,597</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113,328,366</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113,328,366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19685</wp:posOffset>
            </wp:positionV>
            <wp:extent cx="702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-85090</wp:posOffset>
            </wp:positionH>
            <wp:positionV relativeFrom="paragraph">
              <wp:posOffset>36830</wp:posOffset>
            </wp:positionV>
            <wp:extent cx="702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720"/>
            <w:col w:w="1080"/>
          </w:cols>
          <w:pgMar w:left="320" w:top="900" w:right="339" w:bottom="1440" w:gutter="0" w:footer="0" w:header="0"/>
          <w:type w:val="continuous"/>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7" w:name="page68"/>
    <w:bookmarkEnd w:id="67"/>
    <w:p>
      <w:pPr>
        <w:ind w:left="3760"/>
        <w:spacing w:after="0"/>
        <w:rPr>
          <w:sz w:val="20"/>
          <w:szCs w:val="20"/>
          <w:color w:val="auto"/>
        </w:rPr>
      </w:pPr>
      <w:r>
        <w:rPr>
          <w:rFonts w:ascii="Times New Roman" w:cs="Times New Roman" w:eastAsia="Times New Roman" w:hAnsi="Times New Roman"/>
          <w:sz w:val="18"/>
          <w:szCs w:val="18"/>
          <w:b w:val="1"/>
          <w:bCs w:val="1"/>
          <w:color w:val="auto"/>
        </w:rPr>
        <w:t>SELECTED HISTORICAL FINANCIAL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selected consolidated financial and other data of us.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data set forth below should be read in conjunction with, and is qualified by reference to, “Management’s Discussion and Analysis of Financial Condition and Results of Operations” and the consolidated financial statements and notes thereto included elsewhere in this prospectus. Our consolidated financial statements are prepared and presented in accordance with U.S. GAAP. The historical results included below and elsewhere in this prospectus are not indicative of our future performance. You should read the following information in conjunction with those financial statements and accompanying notes included elsewhere in this prospectus and “Management’s Discussion and Analysis of Financial Condition and Results of Operations.”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selected Statements of Operations data for the fiscal years ended December 31, 2024 and 2025, selected Balance Sheet data as of December 31, 2024 and 2025 and selected Statements of Cash Flows data have been derived from the audited financial statements of Horizon and DMY as of December 31, 2024 and 2025 included elsewhere in this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Statements of Operations of Horizon: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360,000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8,211,403</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6,010,397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22,107,337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17,192,112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(49,457)</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(11,954)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(9,296)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124,085</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90,825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(658,218)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(511,873)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293,601</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214,903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(445,309)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(346,301)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(7,483,174)</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(5,477,364)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(23,065,676)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(17,937,378)</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net (loss) income per Ordinary and Preferred shares combined, Basic</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Balance Sheet Data of Horizon: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20"/>
                <w:szCs w:val="20"/>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8,016,640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5,867,838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1,246,437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969,311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3,883,864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2,842,823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4,966,779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3,862,492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11,900,504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8,710,661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6,213,216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4,831,803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1,059,220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775,304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12,094,540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9,405,507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452,014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330,855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88,921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1,511,234</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1,106,159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12,208,884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9,494,428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10,389,270</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7,604,502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(5,995,668)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(4,662,625)</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11,900,504</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8,710,661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6,213,216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4,831,803</w:t>
            </w: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Consolidated Statements of Cash Flows of Horizon: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(7,429,105)</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(5,437,788)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(13,131,645)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(10,212,025)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(2,733,902)</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(2,001,099)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(514,711)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(400,273)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7,580,385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5,895,003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275,502</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201,656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(271,858)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(9,887,505)</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(7,237,231)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(6,337,829)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(4,928,709)</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6,624,506</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4,848,855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222,939</w:t>
            </w:r>
          </w:p>
        </w:tc>
        <w:tc>
          <w:tcPr>
            <w:tcW w:w="0" w:type="dxa"/>
            <w:vAlign w:val="bottom"/>
          </w:tcPr>
          <w:p>
            <w:pPr>
              <w:spacing w:after="0"/>
              <w:rPr>
                <w:sz w:val="1"/>
                <w:szCs w:val="1"/>
                <w:color w:val="auto"/>
              </w:rPr>
            </w:pPr>
          </w:p>
        </w:tc>
      </w:tr>
      <w:tr>
        <w:trPr>
          <w:trHeight w:val="637"/>
        </w:trPr>
        <w:tc>
          <w:tcPr>
            <w:tcW w:w="5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Balance Sheet Data of DMY: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$0.0001 par value; 35,000,000 shares authorized;</w:t>
      </w:r>
    </w:p>
    <w:p>
      <w:pPr>
        <w:spacing w:after="0" w:line="9"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2,325,987, 2,338,586 and 6,319,000 shares subject to possible redemption at approximately $11,90, $10.90 as of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shareholders’ deficit</w:t>
      </w:r>
    </w:p>
    <w:p>
      <w:pPr>
        <w:spacing w:after="0" w:line="9" w:lineRule="exact"/>
        <w:rPr>
          <w:sz w:val="20"/>
          <w:szCs w:val="20"/>
          <w:color w:val="auto"/>
        </w:rPr>
      </w:pPr>
    </w:p>
    <w:p>
      <w:pPr>
        <w:ind w:left="180" w:right="3000" w:hanging="161"/>
        <w:spacing w:after="0" w:line="260" w:lineRule="auto"/>
        <w:rPr>
          <w:sz w:val="20"/>
          <w:szCs w:val="20"/>
          <w:color w:val="auto"/>
        </w:rPr>
      </w:pPr>
      <w:r>
        <w:rPr>
          <w:rFonts w:ascii="Times New Roman" w:cs="Times New Roman" w:eastAsia="Times New Roman" w:hAnsi="Times New Roman"/>
          <w:sz w:val="18"/>
          <w:szCs w:val="18"/>
          <w:color w:val="auto"/>
        </w:rPr>
        <w:t>Total liabilities, Class A Common Stock Subject to Possible Redemption and Shareholders’ Deficit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Operations of DMY: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operating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Investment income from cash and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5"/>
        <w:spacing w:after="0"/>
        <w:tabs>
          <w:tab w:leader="none" w:pos="525" w:val="left"/>
          <w:tab w:leader="none" w:pos="1325" w:val="left"/>
          <w:tab w:leader="none" w:pos="186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442,422</w:t>
        <w:tab/>
        <w:t>$</w:t>
      </w:r>
      <w:r>
        <w:rPr>
          <w:sz w:val="20"/>
          <w:szCs w:val="20"/>
          <w:color w:val="auto"/>
        </w:rPr>
        <w:tab/>
      </w:r>
      <w:r>
        <w:rPr>
          <w:rFonts w:ascii="Times New Roman" w:cs="Times New Roman" w:eastAsia="Times New Roman" w:hAnsi="Times New Roman"/>
          <w:sz w:val="17"/>
          <w:szCs w:val="17"/>
          <w:color w:val="auto"/>
        </w:rPr>
        <w:t>111,525</w:t>
      </w:r>
    </w:p>
    <w:p>
      <w:pPr>
        <w:spacing w:after="0" w:line="27" w:lineRule="exact"/>
        <w:rPr>
          <w:sz w:val="20"/>
          <w:szCs w:val="20"/>
          <w:color w:val="auto"/>
        </w:rPr>
      </w:pPr>
    </w:p>
    <w:p>
      <w:pPr>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25,587,986</w:t>
      </w:r>
      <w:r>
        <w:rPr>
          <w:sz w:val="20"/>
          <w:szCs w:val="20"/>
          <w:color w:val="auto"/>
        </w:rPr>
        <w:tab/>
      </w:r>
      <w:r>
        <w:rPr>
          <w:rFonts w:ascii="Times New Roman" w:cs="Times New Roman" w:eastAsia="Times New Roman" w:hAnsi="Times New Roman"/>
          <w:sz w:val="18"/>
          <w:szCs w:val="18"/>
          <w:color w:val="auto"/>
        </w:rPr>
        <w:t>27,316,019</w:t>
      </w:r>
    </w:p>
    <w:p>
      <w:pPr>
        <w:spacing w:after="0" w:line="9" w:lineRule="exact"/>
        <w:rPr>
          <w:sz w:val="20"/>
          <w:szCs w:val="20"/>
          <w:color w:val="auto"/>
        </w:rPr>
      </w:pPr>
    </w:p>
    <w:p>
      <w:pPr>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26,030,408</w:t>
      </w:r>
      <w:r>
        <w:rPr>
          <w:sz w:val="20"/>
          <w:szCs w:val="20"/>
          <w:color w:val="auto"/>
        </w:rPr>
        <w:tab/>
      </w:r>
      <w:r>
        <w:rPr>
          <w:rFonts w:ascii="Times New Roman" w:cs="Times New Roman" w:eastAsia="Times New Roman" w:hAnsi="Times New Roman"/>
          <w:sz w:val="18"/>
          <w:szCs w:val="18"/>
          <w:color w:val="auto"/>
        </w:rPr>
        <w:t>27,427,544</w:t>
      </w:r>
    </w:p>
    <w:p>
      <w:pPr>
        <w:spacing w:after="0" w:line="207" w:lineRule="exact"/>
        <w:rPr>
          <w:sz w:val="20"/>
          <w:szCs w:val="20"/>
          <w:color w:val="auto"/>
        </w:rPr>
      </w:pPr>
    </w:p>
    <w:p>
      <w:pPr>
        <w:ind w:left="405"/>
        <w:spacing w:after="0"/>
        <w:tabs>
          <w:tab w:leader="none" w:pos="1725" w:val="left"/>
        </w:tabs>
        <w:rPr>
          <w:sz w:val="20"/>
          <w:szCs w:val="20"/>
          <w:color w:val="auto"/>
        </w:rPr>
      </w:pPr>
      <w:r>
        <w:rPr>
          <w:rFonts w:ascii="Times New Roman" w:cs="Times New Roman" w:eastAsia="Times New Roman" w:hAnsi="Times New Roman"/>
          <w:sz w:val="18"/>
          <w:szCs w:val="18"/>
          <w:color w:val="auto"/>
        </w:rPr>
        <w:t>2,779,200</w:t>
      </w:r>
      <w:r>
        <w:rPr>
          <w:sz w:val="20"/>
          <w:szCs w:val="20"/>
          <w:color w:val="auto"/>
        </w:rPr>
        <w:tab/>
      </w:r>
      <w:r>
        <w:rPr>
          <w:rFonts w:ascii="Times New Roman" w:cs="Times New Roman" w:eastAsia="Times New Roman" w:hAnsi="Times New Roman"/>
          <w:sz w:val="18"/>
          <w:szCs w:val="18"/>
          <w:color w:val="auto"/>
        </w:rPr>
        <w:t>8,304,524</w:t>
      </w:r>
    </w:p>
    <w:p>
      <w:pPr>
        <w:spacing w:after="0" w:line="27" w:lineRule="exact"/>
        <w:rPr>
          <w:sz w:val="20"/>
          <w:szCs w:val="20"/>
          <w:color w:val="auto"/>
        </w:rPr>
      </w:pPr>
    </w:p>
    <w:p>
      <w:pPr>
        <w:ind w:left="405"/>
        <w:spacing w:after="0"/>
        <w:tabs>
          <w:tab w:leader="none" w:pos="1625" w:val="left"/>
        </w:tabs>
        <w:rPr>
          <w:sz w:val="20"/>
          <w:szCs w:val="20"/>
          <w:color w:val="auto"/>
        </w:rPr>
      </w:pPr>
      <w:r>
        <w:rPr>
          <w:rFonts w:ascii="Times New Roman" w:cs="Times New Roman" w:eastAsia="Times New Roman" w:hAnsi="Times New Roman"/>
          <w:sz w:val="18"/>
          <w:szCs w:val="18"/>
          <w:color w:val="auto"/>
        </w:rPr>
        <w:t>4,610,100</w:t>
      </w:r>
      <w:r>
        <w:rPr>
          <w:sz w:val="20"/>
          <w:szCs w:val="20"/>
          <w:color w:val="auto"/>
        </w:rPr>
        <w:tab/>
      </w:r>
      <w:r>
        <w:rPr>
          <w:rFonts w:ascii="Times New Roman" w:cs="Times New Roman" w:eastAsia="Times New Roman" w:hAnsi="Times New Roman"/>
          <w:sz w:val="18"/>
          <w:szCs w:val="18"/>
          <w:color w:val="auto"/>
        </w:rPr>
        <w:t>18,874,320</w:t>
      </w:r>
    </w:p>
    <w:p>
      <w:pPr>
        <w:spacing w:after="0" w:line="9" w:lineRule="exact"/>
        <w:rPr>
          <w:sz w:val="20"/>
          <w:szCs w:val="20"/>
          <w:color w:val="auto"/>
        </w:rPr>
      </w:pPr>
    </w:p>
    <w:p>
      <w:pPr>
        <w:ind w:left="405"/>
        <w:spacing w:after="0"/>
        <w:tabs>
          <w:tab w:leader="none" w:pos="1625" w:val="left"/>
        </w:tabs>
        <w:rPr>
          <w:sz w:val="20"/>
          <w:szCs w:val="20"/>
          <w:color w:val="auto"/>
        </w:rPr>
      </w:pPr>
      <w:r>
        <w:rPr>
          <w:rFonts w:ascii="Times New Roman" w:cs="Times New Roman" w:eastAsia="Times New Roman" w:hAnsi="Times New Roman"/>
          <w:sz w:val="18"/>
          <w:szCs w:val="18"/>
          <w:color w:val="auto"/>
        </w:rPr>
        <w:t>7,389,300</w:t>
      </w:r>
      <w:r>
        <w:rPr>
          <w:sz w:val="20"/>
          <w:szCs w:val="20"/>
          <w:color w:val="auto"/>
        </w:rPr>
        <w:tab/>
      </w:r>
      <w:r>
        <w:rPr>
          <w:rFonts w:ascii="Times New Roman" w:cs="Times New Roman" w:eastAsia="Times New Roman" w:hAnsi="Times New Roman"/>
          <w:sz w:val="18"/>
          <w:szCs w:val="18"/>
          <w:color w:val="auto"/>
        </w:rPr>
        <w:t>27,178,844</w:t>
      </w:r>
    </w:p>
    <w:p>
      <w:pPr>
        <w:spacing w:after="0" w:line="200" w:lineRule="exact"/>
        <w:rPr>
          <w:sz w:val="20"/>
          <w:szCs w:val="20"/>
          <w:color w:val="auto"/>
        </w:rPr>
      </w:pPr>
    </w:p>
    <w:p>
      <w:pPr>
        <w:spacing w:after="0" w:line="223" w:lineRule="exact"/>
        <w:rPr>
          <w:sz w:val="20"/>
          <w:szCs w:val="20"/>
          <w:color w:val="auto"/>
        </w:rPr>
      </w:pPr>
    </w:p>
    <w:p>
      <w:pPr>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25,487,987</w:t>
      </w:r>
      <w:r>
        <w:rPr>
          <w:sz w:val="20"/>
          <w:szCs w:val="20"/>
          <w:color w:val="auto"/>
        </w:rPr>
        <w:tab/>
      </w:r>
      <w:r>
        <w:rPr>
          <w:rFonts w:ascii="Times New Roman" w:cs="Times New Roman" w:eastAsia="Times New Roman" w:hAnsi="Times New Roman"/>
          <w:sz w:val="18"/>
          <w:szCs w:val="18"/>
          <w:color w:val="auto"/>
        </w:rPr>
        <w:t>27,216,020</w:t>
      </w:r>
    </w:p>
    <w:p>
      <w:pPr>
        <w:spacing w:after="0" w:line="27" w:lineRule="exact"/>
        <w:rPr>
          <w:sz w:val="20"/>
          <w:szCs w:val="20"/>
          <w:color w:val="auto"/>
        </w:rPr>
      </w:pPr>
    </w:p>
    <w:p>
      <w:pPr>
        <w:jc w:val="both"/>
        <w:ind w:left="345"/>
        <w:spacing w:after="0"/>
        <w:tabs>
          <w:tab w:leader="none" w:pos="1565" w:val="left"/>
        </w:tabs>
        <w:rPr>
          <w:sz w:val="20"/>
          <w:szCs w:val="20"/>
          <w:color w:val="auto"/>
        </w:rPr>
      </w:pPr>
      <w:r>
        <w:rPr>
          <w:rFonts w:ascii="Times New Roman" w:cs="Times New Roman" w:eastAsia="Times New Roman" w:hAnsi="Times New Roman"/>
          <w:sz w:val="18"/>
          <w:szCs w:val="18"/>
          <w:color w:val="auto"/>
        </w:rPr>
        <w:t>(6,846,879)</w:t>
      </w:r>
      <w:r>
        <w:rPr>
          <w:sz w:val="20"/>
          <w:szCs w:val="20"/>
          <w:color w:val="auto"/>
        </w:rPr>
        <w:tab/>
      </w:r>
      <w:r>
        <w:rPr>
          <w:rFonts w:ascii="Times New Roman" w:cs="Times New Roman" w:eastAsia="Times New Roman" w:hAnsi="Times New Roman"/>
          <w:sz w:val="18"/>
          <w:szCs w:val="18"/>
          <w:color w:val="auto"/>
        </w:rPr>
        <w:t>(26,967,320)</w:t>
      </w:r>
    </w:p>
    <w:p>
      <w:pPr>
        <w:spacing w:after="0" w:line="207" w:lineRule="exact"/>
        <w:rPr>
          <w:sz w:val="20"/>
          <w:szCs w:val="20"/>
          <w:color w:val="auto"/>
        </w:rPr>
      </w:pPr>
    </w:p>
    <w:p>
      <w:pPr>
        <w:ind w:left="325"/>
        <w:spacing w:after="0"/>
        <w:tabs>
          <w:tab w:leader="none" w:pos="1625" w:val="left"/>
        </w:tabs>
        <w:rPr>
          <w:sz w:val="20"/>
          <w:szCs w:val="20"/>
          <w:color w:val="auto"/>
        </w:rPr>
      </w:pPr>
      <w:r>
        <w:rPr>
          <w:rFonts w:ascii="Times New Roman" w:cs="Times New Roman" w:eastAsia="Times New Roman" w:hAnsi="Times New Roman"/>
          <w:sz w:val="18"/>
          <w:szCs w:val="18"/>
          <w:color w:val="auto"/>
        </w:rPr>
        <w:t>26,030,408</w:t>
      </w:r>
      <w:r>
        <w:rPr>
          <w:sz w:val="20"/>
          <w:szCs w:val="20"/>
          <w:color w:val="auto"/>
        </w:rPr>
        <w:tab/>
      </w:r>
      <w:r>
        <w:rPr>
          <w:rFonts w:ascii="Times New Roman" w:cs="Times New Roman" w:eastAsia="Times New Roman" w:hAnsi="Times New Roman"/>
          <w:sz w:val="18"/>
          <w:szCs w:val="18"/>
          <w:color w:val="auto"/>
        </w:rPr>
        <w:t>27,427,544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40" w:lineRule="exact"/>
        <w:rPr>
          <w:sz w:val="20"/>
          <w:szCs w:val="20"/>
          <w:color w:val="auto"/>
        </w:rPr>
      </w:pPr>
    </w:p>
    <w:p>
      <w:pPr>
        <w:ind w:left="405" w:hanging="405"/>
        <w:spacing w:after="0"/>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1,135,564   $   4,462,123</w:t>
      </w:r>
    </w:p>
    <w:p>
      <w:pPr>
        <w:spacing w:after="0" w:line="27" w:lineRule="exact"/>
        <w:rPr>
          <w:sz w:val="20"/>
          <w:szCs w:val="20"/>
          <w:color w:val="auto"/>
        </w:rPr>
      </w:pPr>
    </w:p>
    <w:p>
      <w:pPr>
        <w:ind w:left="2285" w:hanging="1421"/>
        <w:spacing w:after="0"/>
        <w:tabs>
          <w:tab w:leader="none" w:pos="2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w:t>
      </w:r>
    </w:p>
    <w:p>
      <w:pPr>
        <w:spacing w:after="0" w:line="9" w:lineRule="exact"/>
        <w:rPr>
          <w:rFonts w:ascii="Times New Roman" w:cs="Times New Roman" w:eastAsia="Times New Roman" w:hAnsi="Times New Roman"/>
          <w:sz w:val="18"/>
          <w:szCs w:val="18"/>
          <w:color w:val="auto"/>
        </w:rPr>
      </w:pPr>
    </w:p>
    <w:p>
      <w:pPr>
        <w:ind w:left="4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1,294,1401,065,740</w:t>
      </w:r>
    </w:p>
    <w:p>
      <w:pPr>
        <w:spacing w:after="0" w:line="9"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(543,970)(14,264,220)</w:t>
      </w:r>
    </w:p>
    <w:p>
      <w:pPr>
        <w:spacing w:after="0" w:line="9"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(434,457)(162,200)</w:t>
      </w:r>
    </w:p>
    <w:p>
      <w:pPr>
        <w:spacing w:after="0" w:line="9" w:lineRule="exact"/>
        <w:rPr>
          <w:rFonts w:ascii="Times New Roman" w:cs="Times New Roman" w:eastAsia="Times New Roman" w:hAnsi="Times New Roman"/>
          <w:sz w:val="18"/>
          <w:szCs w:val="18"/>
          <w:color w:val="auto"/>
        </w:rPr>
      </w:pPr>
    </w:p>
    <w:p>
      <w:pPr>
        <w:ind w:left="4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(819,410)(17,822,706)</w:t>
      </w:r>
    </w:p>
    <w:p>
      <w:pPr>
        <w:spacing w:after="0" w:line="203"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5" w:type="dxa"/>
        <w:tblCellMar>
          <w:top w:w="0" w:type="dxa"/>
          <w:left w:w="0" w:type="dxa"/>
          <w:bottom w:w="0" w:type="dxa"/>
          <w:right w:w="0" w:type="dxa"/>
        </w:tblCellMar>
      </w:tblPr>
      <w:tr>
        <w:trPr>
          <w:trHeight w:val="244"/>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1"/>
                <w:szCs w:val="21"/>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(1,395,823)</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(352,146)</w:t>
            </w:r>
          </w:p>
        </w:tc>
        <w:tc>
          <w:tcPr>
            <w:tcW w:w="6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43,251,420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(662,293)</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(41,546,207)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705,118</w:t>
            </w: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309,390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(309,321)</w:t>
            </w: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309,399</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bl>
    <w:p>
      <w:pPr>
        <w:sectPr>
          <w:pgSz w:w="11900" w:h="16838" w:orient="portrait"/>
          <w:cols w:equalWidth="0" w:num="2">
            <w:col w:w="8260" w:space="415"/>
            <w:col w:w="2525"/>
          </w:cols>
          <w:pgMar w:left="320" w:top="900"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Defined terms included below shall have the same meaning as terms defined and included elsewhere in this Registration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financial information of DMY and Horizon, adjusted to give effect to the Business Combination and related transactions. The following unaudited pro forma condensed combined financial information has been prepared in accordance with Article 11 of Regulation S-X as amended by the final rule, Release No. 33-10786 “</w:t>
      </w:r>
      <w:r>
        <w:rPr>
          <w:rFonts w:ascii="Times New Roman" w:cs="Times New Roman" w:eastAsia="Times New Roman" w:hAnsi="Times New Roman"/>
          <w:sz w:val="18"/>
          <w:szCs w:val="18"/>
          <w:i w:val="1"/>
          <w:iCs w:val="1"/>
          <w:color w:val="auto"/>
        </w:rPr>
        <w:t>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Disclosures about Acquired and Disposed Businesses</w:t>
      </w:r>
      <w:r>
        <w:rPr>
          <w:rFonts w:ascii="Times New Roman" w:cs="Times New Roman" w:eastAsia="Times New Roman" w:hAnsi="Times New Roman"/>
          <w:sz w:val="18"/>
          <w:szCs w:val="18"/>
          <w:color w:val="auto"/>
        </w:rPr>
        <w:t>” to depict the accounting for the transaction (“</w:t>
      </w:r>
      <w:r>
        <w:rPr>
          <w:rFonts w:ascii="Times New Roman" w:cs="Times New Roman" w:eastAsia="Times New Roman" w:hAnsi="Times New Roman"/>
          <w:sz w:val="18"/>
          <w:szCs w:val="18"/>
          <w:b w:val="1"/>
          <w:bCs w:val="1"/>
          <w:i w:val="1"/>
          <w:iCs w:val="1"/>
          <w:color w:val="auto"/>
        </w:rPr>
        <w:t>Transaction Accounting Adjustments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DMY has elected not to present Management’s Adjustments and will only be presenting Transaction Accounting Adjustments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unaudited pro forma condensed combined financial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2025, assumes that the Business Combination occurred on December 31, 2025. The unaudited pro forma condensed combined statement of operations for the year ended December 31, 2025, assume that the Business Combination occurred on January 1,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the Company’s financial condition or results of operations would have been had the Business Combination occurred on the dates indicated. Further, the pro forma condensed combined financial information also may not be useful in predicting the future financial condition and results of operations of the Company. The actual financial position and results of operations of the Company may differ significantly from the pro forma amounts reflected herein due to a variety of factors.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historical financial information of DMY was derived from the audited financial statements of DMY for the year ended December 31, 2025, which are incorporated by reference. The historical financial information of Horizon was derived from the audited financial statements for the year ended December 31, 2025, which are incorporated by reference. This information should be read together with DMY’s and Horizon’s financial statements, and related notes, the sections titled “DMY Management’s Discussion and Analysis of Financial Condition and Results of Operations” and “Horizon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the following occurred: (1) the Amalgamation of Merger Sub 1 and Horizon, whereby Horizon became a wholly-owned subsidiary of the Company, in accordance with the Business Combination Agreement and the Singapore Companies Act; (2) the Merger of Merger Sub 2 with and into DMY, with DMY surviving the Merger as a wholly-owned subsidiary of the Company, in accordance with the Business Combination Agreement and the Massachusetts Business Corporations Act; and (3) the other transactions contemplated by the Business Combination Agreement and documents related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pursuant to the Business Combination Agreement, the Lock-Up Securityholders entered into the Lock-Up Agreement with the Company, pursuant to which the Lock-Up Shares are subject to lock-up during the Shares Lock-Up Period and the Company Warrants and underlying Company Shares are subject to lock-up during the Warrants Lock-Up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Financing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obtained S$3.8 million (or $3.0 million) of SAFE financing prior to the execution of the Business Combination Agreement. Following the execution of the Business Combination Agreement through the Closing, Horizon obtained an additional S$6.9 million (or $5.4 million) of SAFE financing.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4, 2025, DMY, the Company and Horizon entered into the PIPE Subscription Agreements with the PIPE Investors. Pursuant to the PIPE Subscription Agreements, the Company issued and sold the PIPE Investors an aggregate of approximately S$139.7 million (or $108.7 million) of the Company’s PIPE Shares, at a per share price equal to the per share price at which each Public Share may be redeemed in connection with the Business Combination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At the time of the Business Combination, the Redemption Price was $11.82.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Ownership of the Company after the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varying ownership levels of the Company immediately following the Business Combination.</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excludes the dilutive effect of Company Warrants, Company Options, and Company Class A Shares that will initially be available for issuance under the 2026 Plan and ESPP.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2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5"/>
              </w:rPr>
              <w:t>Class A</w:t>
            </w:r>
          </w:p>
        </w:tc>
        <w:tc>
          <w:tcPr>
            <w:tcW w:w="13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1380" w:type="dxa"/>
            <w:vAlign w:val="bottom"/>
            <w:gridSpan w:val="2"/>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7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 Forma Ownership</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Power</w:t>
            </w:r>
            <w:r>
              <w:rPr>
                <w:rFonts w:ascii="Times New Roman" w:cs="Times New Roman" w:eastAsia="Times New Roman" w:hAnsi="Times New Roman"/>
                <w:sz w:val="29"/>
                <w:szCs w:val="29"/>
                <w:b w:val="1"/>
                <w:bCs w:val="1"/>
                <w:color w:val="auto"/>
                <w:w w:val="92"/>
                <w:vertAlign w:val="superscript"/>
              </w:rPr>
              <w:t>(1)</w:t>
            </w:r>
          </w:p>
        </w:tc>
        <w:tc>
          <w:tcPr>
            <w:tcW w:w="160" w:type="dxa"/>
            <w:vAlign w:val="bottom"/>
            <w:tcBorders>
              <w:bottom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Harry You and Sponsor</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1,212,698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Holders of Founder Shares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416,266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Horizon shareholders (excluding Dr. Joseph Fitzsimons and Harry You)</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20,055,960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Joseph Fitzsimons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19,744,585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56"/>
        </w:trPr>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Revere</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9,196,021</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7"/>
        </w:trPr>
        <w:tc>
          <w:tcPr>
            <w:tcW w:w="59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31,833,549</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19,744,585</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Class A Ordinary Share entitles the holder thereof to one (1) vote per share on all matters on which the Company Class A Shares are entitled to vote, and each Company Class B Ordinary Share entitles the holder thereof to three (3) votes per share on all matters on which the Company Class B Shares are entitled to vote.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1,163,484 Founder Shares held by Sponsor and 49,214 Company Class A Shares issuable in respect of Mr. You’s $500,000 SAFE investment in Horizon.</w:t>
      </w:r>
    </w:p>
    <w:p>
      <w:pPr>
        <w:ind w:left="340" w:hanging="332"/>
        <w:spacing w:after="0" w:line="26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DMY engaged Revere Securities LLC as its financial advisor and marketing agent in connection with the Business Combination. In compensation for the service, DMY paid the Financial Advisor a cash fee of $200,000 and an equity fee of 20,000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although the Business Combination was structured such that Company was the legal acquirer of both DMY and Horizon, for financial reporting purposes, the transaction was accounted for as a reverse recapitalization, with Horizon treated as the accounting acquirer and DMY treated as the acquired company. Accordingly, the Business Combination was treated as the equivalent of Horizon issuing stock for the net assets of DMY, accompanied by a recapitalization. The net assets of DMY were stated at historical cost, with no goodwill or other intangible assets recorded. Operations prior to the Business Combination were those of Horizon.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Horizon was determined to be the accounting acquirer based on evaluation of the following facts and circumstances:</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Horizon have the greatest voting interest in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Horizon have the ability to control decisions regarding election and removal of directors and officers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 comprises the ongoing operations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Horizon’s existing senior management is the senior management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December 31, 2025, and the unaudited pro forma condensed combined statement of operations for the year ended December 31, 2025, are based on the audited historical financial statements of DMY and Horizon.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 and include immaterial rounding differences.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DMY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Horizon</w:t>
            </w:r>
          </w:p>
        </w:tc>
        <w:tc>
          <w:tcPr>
            <w:tcW w:w="1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converted to</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5140" w:type="dxa"/>
            <w:vAlign w:val="bottom"/>
          </w:tcPr>
          <w:p>
            <w:pPr>
              <w:spacing w:after="0"/>
              <w:rPr>
                <w:sz w:val="21"/>
                <w:szCs w:val="21"/>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SGD)</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4"/>
        </w:trPr>
        <w:tc>
          <w:tcPr>
            <w:tcW w:w="51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286,677</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14,168,136</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3"/>
              </w:rPr>
              <w:t>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129,968,161</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(18,737,346)</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139,708,213</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293,377</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(8,964,246)</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3,213,250</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959,760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143,243</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1,286,923</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2,389,926</w:t>
            </w:r>
          </w:p>
        </w:tc>
      </w:tr>
      <w:tr>
        <w:trPr>
          <w:trHeight w:val="203"/>
        </w:trPr>
        <w:tc>
          <w:tcPr>
            <w:tcW w:w="51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1,246,437</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143,343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130,968,307</w:t>
            </w: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132,358,087</w:t>
            </w:r>
          </w:p>
        </w:tc>
        <w:tc>
          <w:tcPr>
            <w:tcW w:w="100" w:type="dxa"/>
            <w:vAlign w:val="bottom"/>
            <w:tcBorders>
              <w:top w:val="single" w:sz="8" w:color="CCEEFF"/>
            </w:tcBorders>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 held in Trust Account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35,109,279</w:t>
            </w: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(21,168,298)</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227,155</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(14,168,136)</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4,121,089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4,121,089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591,491</w:t>
            </w: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225,181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225,181</w:t>
            </w:r>
          </w:p>
        </w:tc>
      </w:tr>
      <w:tr>
        <w:trPr>
          <w:trHeight w:val="210"/>
        </w:trPr>
        <w:tc>
          <w:tcPr>
            <w:tcW w:w="51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4,966,779</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35,109,279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(35,109,279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4,966,779</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6,213,216</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35,252,622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95,859,028</w:t>
            </w:r>
          </w:p>
        </w:tc>
        <w:tc>
          <w:tcPr>
            <w:tcW w:w="4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w w:val="83"/>
              </w:rPr>
              <w:t>S</w:t>
            </w:r>
            <w:r>
              <w:rPr>
                <w:rFonts w:ascii="Times New Roman" w:cs="Times New Roman" w:eastAsia="Times New Roman" w:hAnsi="Times New Roman"/>
                <w:sz w:val="18"/>
                <w:szCs w:val="18"/>
                <w:b w:val="1"/>
                <w:bCs w:val="1"/>
                <w:color w:val="auto"/>
                <w:w w:val="8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137,324,866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696,252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(633,080)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3"/>
              </w:rPr>
              <w:t>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63,172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5,367,588</w:t>
            </w: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(4,969,144)</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398,444</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3,346,689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(633,655)</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2,713,034</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509,248</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 related parties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1,531,650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(1,531,650)</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3,078,313</w:t>
            </w: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293,377</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(3,371,690)</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 SAFE Notes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8,238,603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3,213,250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1,204,488</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(12,656,341)</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Q</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51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12,094,540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10,673,803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(19,084,445)</w:t>
            </w: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3,683,898</w:t>
            </w:r>
          </w:p>
        </w:tc>
        <w:tc>
          <w:tcPr>
            <w:tcW w:w="100" w:type="dxa"/>
            <w:vAlign w:val="bottom"/>
            <w:tcBorders>
              <w:top w:val="single" w:sz="8" w:color="CCEEFF"/>
            </w:tcBorders>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Overfunding loans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1,218,272</w:t>
            </w: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(1,218,272)</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20,198,258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20,198,258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2,842,634</w:t>
            </w:r>
          </w:p>
        </w:tc>
        <w:tc>
          <w:tcPr>
            <w:tcW w:w="24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(2,842,634)</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114,344</w:t>
            </w:r>
          </w:p>
        </w:tc>
      </w:tr>
      <w:tr>
        <w:trPr>
          <w:trHeight w:val="210"/>
        </w:trPr>
        <w:tc>
          <w:tcPr>
            <w:tcW w:w="51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114,344</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24,259,164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(4,060,906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20,312,602</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12,208,884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34,932,967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(23,145,351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23,996,500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DMY</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3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Horizon</w:t>
            </w:r>
          </w:p>
        </w:tc>
        <w:tc>
          <w:tcPr>
            <w:tcW w:w="80" w:type="dxa"/>
            <w:vAlign w:val="bottom"/>
          </w:tcPr>
          <w:p>
            <w:pPr>
              <w:spacing w:after="0"/>
              <w:rPr>
                <w:sz w:val="18"/>
                <w:szCs w:val="18"/>
                <w:color w:val="auto"/>
              </w:rPr>
            </w:pPr>
          </w:p>
        </w:tc>
        <w:tc>
          <w:tcPr>
            <w:tcW w:w="14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converted to</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60" w:type="dxa"/>
            <w:vAlign w:val="bottom"/>
          </w:tcPr>
          <w:p>
            <w:pPr>
              <w:spacing w:after="0"/>
              <w:rPr>
                <w:sz w:val="18"/>
                <w:szCs w:val="18"/>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5140" w:type="dxa"/>
            <w:vAlign w:val="bottom"/>
          </w:tcPr>
          <w:p>
            <w:pPr>
              <w:spacing w:after="0"/>
              <w:rPr>
                <w:sz w:val="21"/>
                <w:szCs w:val="21"/>
                <w:color w:val="auto"/>
              </w:rPr>
            </w:pPr>
          </w:p>
        </w:tc>
        <w:tc>
          <w:tcPr>
            <w:tcW w:w="13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4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SGD)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Class A Shares subject to possible redemption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34,980,751</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(21,168,298)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355,683</w:t>
            </w:r>
          </w:p>
        </w:tc>
        <w:tc>
          <w:tcPr>
            <w:tcW w:w="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(14,168,136)</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Preferred Shares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1,150,000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(1,150,000)</w:t>
            </w:r>
          </w:p>
        </w:tc>
        <w:tc>
          <w:tcPr>
            <w:tcW w:w="74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Seed Plus Preferred Shares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3,349,184</w:t>
            </w:r>
          </w:p>
        </w:tc>
        <w:tc>
          <w:tcPr>
            <w:tcW w:w="8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(3,349,184)</w:t>
            </w:r>
          </w:p>
        </w:tc>
        <w:tc>
          <w:tcPr>
            <w:tcW w:w="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24,362,849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(24,362,849)</w:t>
            </w:r>
          </w:p>
        </w:tc>
        <w:tc>
          <w:tcPr>
            <w:tcW w:w="74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Horizon Ordinary Shares</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7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Class A Shares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14,258,728</w:t>
            </w:r>
          </w:p>
        </w:tc>
        <w:tc>
          <w:tcPr>
            <w:tcW w:w="74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166,623,608</w:t>
            </w: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J</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139,708,213</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12,656,341</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Q</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Class B Shares</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14,608,305</w:t>
            </w:r>
          </w:p>
        </w:tc>
        <w:tc>
          <w:tcPr>
            <w:tcW w:w="74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14,608,305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DMY Preferred Stock</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DMY Class A Common Stock</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J</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DMY Class B Common Stock</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9,538,520</w:t>
            </w:r>
          </w:p>
        </w:tc>
        <w:tc>
          <w:tcPr>
            <w:tcW w:w="8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(3,803,555)</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9,538,520</w:t>
            </w: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(42,546,562)</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14,168,016</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345,743</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31,836,358</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(44,545,818)</w:t>
            </w:r>
          </w:p>
        </w:tc>
        <w:tc>
          <w:tcPr>
            <w:tcW w:w="1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(34,661,299)</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(128,528)</w:t>
            </w:r>
          </w:p>
        </w:tc>
        <w:tc>
          <w:tcPr>
            <w:tcW w:w="740" w:type="dxa"/>
            <w:vAlign w:val="bottom"/>
            <w:gridSpan w:val="2"/>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(77,586,664)</w:t>
            </w: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(7,410,989)</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42,546,562</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(345,746)</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(31,836,358)</w:t>
            </w:r>
          </w:p>
        </w:tc>
        <w:tc>
          <w:tcPr>
            <w:tcW w:w="74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(1,204,488)</w:t>
            </w:r>
          </w:p>
        </w:tc>
        <w:tc>
          <w:tcPr>
            <w:tcW w:w="7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0"/>
              </w:rPr>
              <w:t>P</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144,597</w:t>
            </w:r>
          </w:p>
        </w:tc>
        <w:tc>
          <w:tcPr>
            <w:tcW w:w="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144,597</w:t>
            </w:r>
          </w:p>
        </w:tc>
      </w:tr>
      <w:tr>
        <w:trPr>
          <w:trHeight w:val="210"/>
        </w:trPr>
        <w:tc>
          <w:tcPr>
            <w:tcW w:w="51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(5,995,668</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(34,661,096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153,985,130</w:t>
            </w:r>
          </w:p>
        </w:tc>
        <w:tc>
          <w:tcPr>
            <w:tcW w:w="20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113,328,366</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40" w:type="dxa"/>
            <w:vAlign w:val="bottom"/>
            <w:gridSpan w:val="2"/>
            <w:shd w:val="clear" w:color="auto" w:fill="CCEEFF"/>
          </w:tcPr>
          <w:p>
            <w:pPr>
              <w:jc w:val="center"/>
              <w:ind w:right="61"/>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   6,213,216</w:t>
            </w:r>
          </w:p>
        </w:tc>
        <w:tc>
          <w:tcPr>
            <w:tcW w:w="1500" w:type="dxa"/>
            <w:vAlign w:val="bottom"/>
            <w:gridSpan w:val="3"/>
            <w:shd w:val="clear" w:color="auto" w:fill="CCEEFF"/>
          </w:tcPr>
          <w:p>
            <w:pPr>
              <w:jc w:val="center"/>
              <w:ind w:right="61"/>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  35,252,622</w:t>
            </w:r>
          </w:p>
        </w:tc>
        <w:tc>
          <w:tcPr>
            <w:tcW w:w="14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  95,859,028</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w w:val="83"/>
              </w:rPr>
              <w:t>S</w:t>
            </w:r>
            <w:r>
              <w:rPr>
                <w:rFonts w:ascii="Times New Roman" w:cs="Times New Roman" w:eastAsia="Times New Roman" w:hAnsi="Times New Roman"/>
                <w:sz w:val="18"/>
                <w:szCs w:val="18"/>
                <w:b w:val="1"/>
                <w:bCs w:val="1"/>
                <w:color w:val="auto"/>
                <w:w w:val="83"/>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137,324,866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Balance Sheet</w:t>
      </w:r>
    </w:p>
    <w:p>
      <w:pPr>
        <w:spacing w:after="0" w:line="22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balance sheet of Horizon as of December 31,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balance sheet of DMY as of December 31, 2025.</w:t>
      </w:r>
    </w:p>
    <w:p>
      <w:pPr>
        <w:spacing w:after="0" w:line="225" w:lineRule="exact"/>
        <w:rPr>
          <w:sz w:val="20"/>
          <w:szCs w:val="20"/>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1,393,383 DMY Class A ordinary shares at approximately S$15.19 per share for an aggregate redemption payment of S$21.2 million in March 2026.</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interest income in the Trust Account through Closing of S$0.2 million, and the adjustment to common shares subject to redemption of S$0.4 million.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S$14.2 million of funds in the Trust Account to cash that becomes available upon the closing of the Business Combination.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costs incurred by DMY of approximately S$15.4 million (excluding deferred underwriting fee of approximately S$2.8 million), and Horizon of approximately S$4.3 million.</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DMY transaction costs, S$5.6 million of these fees have been accrued as of the pro forma balance sheet date. S$2.2 million of these fees was PIPE fees and reflected as an adjustment to additional paid-in capital. The remaining amount of S$7.4 million is recorded as an adjustment to accumulated losses. The DMY estimated transaction costs exclude the deferred underwriting fee included in (M) below.</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Horizon transaction costs, S$1.6 million of these fees have been accrued as of the pro forma balance sheet date. S$1.3 million of these fees related to the D&amp;O insurance premium have been recorded to prepaid expenses. S$0.9 million of these fees are expected to be paid post-Closing. The amount of S$1.4 million is included as an adjustment to additional paid-in capital.</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Horizon’s Preferred and Ordinary shares and the issuance of 19,272,096 of Company Class A Shares (excluding the 833,079 Company Class A Shares as described in Q below) and 19,744,585 Company Class B Shares upon the Business Combination.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DMY’s historical accumulated losses after recording the adjustment of ordinary shares subject to redemption and the interest earned in the Trust Account subsequent to December 31, 2025 as described in (B) above, the transaction costs to be incurred by DMY as described in (D) above, and the compensation for the service provided by the Financial Advisor as described in (I) below.</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932,604 DMY Class A Shares subject to redemption to permanent equity.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DMY Class B Shares into DMY Class A Shares at the consummation of the Business Combination.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20,000 DMY Class A Shares in compensation for the service provided by the Financial Advisor.</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DMY Class A Shares into Company Class A Shares at the closing of the Business Combination.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PIPE proceeds of S$139.7 million.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receipt of additional advances from related parties subsequent to December 31, 2025.</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the deferred underwriting fee of S$2.8 million, the payment of DMY advances from related parties of S$3.4 million, the payment of DMY convertible notes — related parties of S$1.5 million, and the payment of DMY overfunding loans of S$1.2 million upon the consummation of the Business Combination.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proceeds received from SAFEs of S$3.2 million (or $2.5 million) subsequent to December 31,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among equity to avoid negative additional paid-in capital.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mark-to-market of the SAFE liability to fair value as of the closing date.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SAFEs into 833,079 Company Class A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DMY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(Historical as</w:t>
            </w:r>
          </w:p>
        </w:tc>
        <w:tc>
          <w:tcPr>
            <w:tcW w:w="80" w:type="dxa"/>
            <w:vAlign w:val="bottom"/>
          </w:tcPr>
          <w:p>
            <w:pPr>
              <w:spacing w:after="0"/>
              <w:rPr>
                <w:sz w:val="18"/>
                <w:szCs w:val="18"/>
                <w:color w:val="auto"/>
              </w:rPr>
            </w:pPr>
          </w:p>
        </w:tc>
        <w:tc>
          <w:tcPr>
            <w:tcW w:w="138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Horizon</w:t>
            </w:r>
          </w:p>
        </w:tc>
        <w:tc>
          <w:tcPr>
            <w:tcW w:w="13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converted to</w:t>
            </w:r>
          </w:p>
        </w:tc>
        <w:tc>
          <w:tcPr>
            <w:tcW w:w="80" w:type="dxa"/>
            <w:vAlign w:val="bottom"/>
          </w:tcPr>
          <w:p>
            <w:pPr>
              <w:spacing w:after="0"/>
              <w:rPr>
                <w:sz w:val="18"/>
                <w:szCs w:val="18"/>
                <w:color w:val="auto"/>
              </w:rPr>
            </w:pPr>
          </w:p>
        </w:tc>
        <w:tc>
          <w:tcPr>
            <w:tcW w:w="138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60" w:type="dxa"/>
            <w:vAlign w:val="bottom"/>
          </w:tcPr>
          <w:p>
            <w:pPr>
              <w:spacing w:after="0"/>
              <w:rPr>
                <w:sz w:val="21"/>
                <w:szCs w:val="21"/>
                <w:color w:val="auto"/>
              </w:rPr>
            </w:pPr>
          </w:p>
        </w:tc>
        <w:tc>
          <w:tcPr>
            <w:tcW w:w="108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SGD)</w:t>
            </w:r>
          </w:p>
        </w:tc>
        <w:tc>
          <w:tcPr>
            <w:tcW w:w="80" w:type="dxa"/>
            <w:vAlign w:val="bottom"/>
          </w:tcPr>
          <w:p>
            <w:pPr>
              <w:spacing w:after="0"/>
              <w:rPr>
                <w:sz w:val="21"/>
                <w:szCs w:val="21"/>
                <w:color w:val="auto"/>
              </w:rPr>
            </w:pPr>
          </w:p>
        </w:tc>
        <w:tc>
          <w:tcPr>
            <w:tcW w:w="138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3"/>
              </w:rPr>
              <w:t>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10,696,318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1,785,364</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8,572,643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5,829,703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7,410,989</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CC</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(156,794)</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BB</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345,746</w:t>
            </w:r>
          </w:p>
        </w:tc>
        <w:tc>
          <w:tcPr>
            <w:tcW w:w="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EE</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Corporate tax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1,053,012</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22,107,337</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5,830,299</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7,599,941</w:t>
            </w: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35,537,577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(22,057,337)</w:t>
            </w:r>
          </w:p>
        </w:tc>
        <w:tc>
          <w:tcPr>
            <w:tcW w:w="2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(5,830,299)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(7,599,941)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(35,487,577)</w:t>
            </w:r>
          </w:p>
        </w:tc>
        <w:tc>
          <w:tcPr>
            <w:tcW w:w="0" w:type="dxa"/>
            <w:vAlign w:val="bottom"/>
          </w:tcPr>
          <w:p>
            <w:pPr>
              <w:spacing w:after="0"/>
              <w:rPr>
                <w:sz w:val="1"/>
                <w:szCs w:val="1"/>
                <w:color w:val="auto"/>
              </w:rPr>
            </w:pPr>
          </w:p>
        </w:tc>
      </w:tr>
      <w:tr>
        <w:trPr>
          <w:trHeight w:val="135"/>
        </w:trPr>
        <w:tc>
          <w:tcPr>
            <w:tcW w:w="4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operating account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investments held in Trust Account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1,392,517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(1,392,517)</w:t>
            </w: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AA</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(18,637,915)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(18,637,915)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 – SAFE Notes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(658,218)</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(1,204,488)</w:t>
            </w: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FF</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(1,862,706)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(11,954)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107,142</w:t>
            </w:r>
          </w:p>
        </w:tc>
        <w:tc>
          <w:tcPr>
            <w:tcW w:w="26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(445,309)</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(445,309)</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(1,008,339)</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(17,245,271)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(2,597,005)</w:t>
            </w: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(20,850,615)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provision for income taxes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(23,065,676)</w:t>
            </w:r>
          </w:p>
        </w:tc>
        <w:tc>
          <w:tcPr>
            <w:tcW w:w="2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(23,075,570)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(10,196,946)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(56,338,192)</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211,934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(211,934)</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DD</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(23,065,676</w:t>
            </w:r>
          </w:p>
        </w:tc>
        <w:tc>
          <w:tcPr>
            <w:tcW w:w="220" w:type="dxa"/>
            <w:vAlign w:val="bottom"/>
            <w:vMerge w:val="continue"/>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(23,287,504</w:t>
            </w:r>
          </w:p>
        </w:tc>
        <w:tc>
          <w:tcPr>
            <w:tcW w:w="140" w:type="dxa"/>
            <w:vAlign w:val="bottom"/>
            <w:vMerge w:val="continue"/>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(9,985,012</w:t>
            </w:r>
          </w:p>
        </w:tc>
        <w:tc>
          <w:tcPr>
            <w:tcW w:w="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3"/>
              </w:rPr>
              <w:t>S</w:t>
            </w:r>
            <w:r>
              <w:rPr>
                <w:rFonts w:ascii="Times New Roman" w:cs="Times New Roman" w:eastAsia="Times New Roman" w:hAnsi="Times New Roman"/>
                <w:sz w:val="18"/>
                <w:szCs w:val="18"/>
                <w:b w:val="1"/>
                <w:bCs w:val="1"/>
                <w:color w:val="auto"/>
                <w:w w:val="8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(56,338,192</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Class A common stock - basic</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Class A common stock - diluted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Class B common stock - basic</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Class B common stock - diluted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number of shares outstanding – basic</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51,578,135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 forma loss per share – basic and diluted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3"/>
              </w:rPr>
              <w:t>S$</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Statements of Operations</w:t>
      </w:r>
    </w:p>
    <w:p>
      <w:pPr>
        <w:spacing w:after="0" w:line="14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Horizon for the year ended December 31, 2025.</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statement of operations of DMY for the year ended December 31, 2025.</w:t>
      </w:r>
    </w:p>
    <w:p>
      <w:pPr>
        <w:spacing w:after="0" w:line="144"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earned on marketable securities held in the Trust Account after giving effect to the Business Combination as if it had occurred on January 1, 2025.</w:t>
      </w:r>
    </w:p>
    <w:p>
      <w:pPr>
        <w:spacing w:after="0" w:line="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administrative service fees that will cease at the Business Combination.</w:t>
      </w:r>
    </w:p>
    <w:p>
      <w:pPr>
        <w:spacing w:after="0" w:line="14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the pro forma balance sheet adjustment presented in (D) above for the direct, incremental costs of the Business Combination expected to be incurred by DMY. As these costs are directly related to the Business Combination, they are not expected to recur in the income of the Company beyond 12 months after the Business Combination.</w:t>
      </w:r>
    </w:p>
    <w:p>
      <w:pPr>
        <w:spacing w:after="0" w:line="9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tax expense resulting from the interest income earned in the Trust account after giving effect to the Business Combination as if it had occurred on January 1, 2025.</w:t>
      </w:r>
    </w:p>
    <w:p>
      <w:pPr>
        <w:spacing w:after="0" w:line="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20,000 DMY Class A Shares in compensation for the service provided by the Financial Advisor.</w:t>
      </w:r>
    </w:p>
    <w:p>
      <w:pPr>
        <w:spacing w:after="0" w:line="14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mark-to-market adjustment on the SAFE liabilities.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98"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although the Business Combination was structured such that the Company was the legal acquirer of both DMY and Horizon, for financial reporting purposes, the transaction was accounted for as a reverse recapitalization, with Horizon treated as the accounting acquirer and DMY treated as the acquired company. Accordingly, the Business Combination was treated as the equivalent of Horizon issuing stock for the net assets of DMY, accompanied by a recapitalization. The net assets of DMY were stated at historical cost, with no goodwill or other intangible assets recorded. Operations prior to the Business Combination were those of Horizon.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assumes that the Business Combination and related transactions occurred on December 31, 2025. The unaudited pro forma condensed combined statement of operations for the year ended December 31, 2025, presents pro forma effect to the Business Combination as if it had been completed on January 1, 2025.</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has been prepared using, and should be read in conjunction with,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DMY’s audited balance sheet as of December 31, 2025 and the related notes for the year ended December 31, 2025, which are incorporated by reference;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Horizon’s audited consolidated balance sheet as of December 31, 2025 and the related notes for the year ended December 31, 2025, which are incorporated by reference.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has been prepared using, and should be read in conjunction with,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DMY’s audited statement of operations for the year ended December 31, 2025, and the related notes, which are incorporated by reference; and</w:t>
      </w:r>
    </w:p>
    <w:p>
      <w:pPr>
        <w:spacing w:after="0" w:line="161" w:lineRule="exact"/>
        <w:rPr>
          <w:rFonts w:ascii="Times New Roman" w:cs="Times New Roman" w:eastAsia="Times New Roman" w:hAnsi="Times New Roman"/>
          <w:sz w:val="18"/>
          <w:szCs w:val="18"/>
          <w:color w:val="auto"/>
        </w:rPr>
      </w:pPr>
    </w:p>
    <w:p>
      <w:pPr>
        <w:ind w:left="660" w:right="140" w:hanging="4"/>
        <w:spacing w:after="0" w:line="500" w:lineRule="auto"/>
        <w:tabs>
          <w:tab w:leader="none" w:pos="9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Horizon’s audited statement of operations for the year ended December 31, 2025, and the related notes, which are incorporated by reference. The historical financial statements of DMY have been translated into and are presented in SGD using the following exchange rates: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exchange rate as of December 31, 2025, of US$1.00 to SGD$1.2853 for the balance sheet;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year ended December 31, 2025, of US$1.00 to SGD$1.30662 for the statement of operations for the period ending on that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unaudited pro forma condensed combined financial information has been prepared based on these preliminary estimates, the final amounts recorded may differ materially from the information presented.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DMY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DMY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of the Company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DMY and Horizon.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consummation of the Business Combination, management of the Company performed a comprehensive review of the two entities’ accounting policies. As a result of the review, management of the Company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by the final rule, Release No. 33-10786 “Amendments to Financial Disclosures about Acquired and Disposed Businesses” to depict the Transaction Accounting Adjustments and present the Management’s Adjustments. DMY has elected not to present Management’s Adjustments and is only presenting Transaction Accounting Adjustments in the unaudited pro forma condensed combined financial information. The historical financial statements have been adjusted in the unaudited pro forma condensed combined financial information to include all necessary Transaction Accounting Adjustments pursuant to Article 11 of Regulation S-X, including those that are not expected to have a continuing impact.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audited historical financial statements have been adjusted in the unaudited pro forma condensed combined financial information to give pro forma effect to Transaction Accounting Adjustments that reflect the accounting for the transaction under GAAP. Horizon and DMY have not had any historical relationship prior to the Business Combination. Accordingly, no pro forma adjustments were required to eliminate activities between the companies.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 forma combined statements of operations do not reflect a provision for income taxes or any amounts that would have resulted had the Company filed consolidated income tax returns during the periods presented. The pro forma condensed combined balance sheet does not reflect the deferred taxes of the Company as a result of the Business Combination. Since it is likely that the Company will record a valuation allowance against the total U.S. and state deferred tax assets given the net operating losses as the recoverability of the tax assets is uncertain, the tax provision is zero.</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the Company Shares outstanding, assuming the Business Combination occurred on January 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Statement of Operations Data for the Year Ended December 31, 2025</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(56,338,192)</w:t>
            </w:r>
          </w:p>
        </w:tc>
      </w:tr>
      <w:tr>
        <w:trPr>
          <w:trHeight w:val="256"/>
        </w:trPr>
        <w:tc>
          <w:tcPr>
            <w:tcW w:w="97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shares outstanding – basic and diluted</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51,578,135</w:t>
            </w: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diluted earnings per share, all the 3,159,500 shares underlying the DMY Public Warrants, the 2,884,660 shares underlying the DMY Private Warrants, and the 2,618,161, shares underlying the Horizon Options (reflecting an increase of 766,451 from the date of the Business Combination Agreement for issuances of Horizon Options to new employees) should have been assumed to have been exercised. However, since this results in anti-dilution, the effect of such exercise was not included in calculation of diluted loss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receive proceeds of up to an aggregate of US$69,507,840 from the exercise of the Warrants if all of the Warrants are exercised for cash. We expect to use the net proceeds from the exercise of Warrants for general corporate purposes. There is no assurance that the holders of the Warrants will elect to exercise any or all of such Warrants or that they will exercise any or all of them for cash. The amount of cash we would receive from the exercise of the Warrants will decrease to the extent that Warrants are exercised on a cashless basis.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any sale of the securities registered hereby by the Selling Securityholders. With respect to the registration of the securities being offered by the Selling Securityholders, the Selling Securityholders will pay any underwriting discounts and commissions incurred by them in disposing of such securities, and fees and expenses of legal counsel representing the Selling Securityholders. We have borne all other costs, fees and expenses incurred in effecting the registration of the Registered Securities, such as registration and filing fees and fees of our counsel and our independent registered public accountants.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We currently have not adopted a dividend policy with respect to future dividends and we do not have any present plan to pay any dividends on our Company Shares in the foreseeable future after this offering. We currently intend to retain most, if not all, of our available funds and any future earnings to operate and expand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or other debt instruments), capital requirements, business prospects and other factors our board of directors may deem relevant.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do not have any present plan to pay any dividends on our ordinary shares in the foreseeable future after this offering, we may, in the future, by ordinary resolution, declare dividends at a general meeting of our shareholders, but no dividend shall be payable except out of our profits available for distribution, as derived from the standalone audited financial statements of our company and not from our audited consolidated financial statements.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we declare must be approved by an ordinary resolution at a general meeting of our shareholders. We are a holding company with no material operations of our own. We conduct our operations primarily through our subsidiaries. As a result, our ability to pay dividends depends upon dividends paid by our subsidiaries. Regulations in certain markets where we utilize dividend payments may restrict the ability of our subsidiaries to pay dividends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legal name of the Company is Horizon Quantum Holdings Ltd. The Company was incorporated under the laws of the Republic of Singapore on August 26, 2025, as an exempt private company limited by shares governed by the Companies Act of 1967 of Singapore. The Company converted to a public company limited by shares on March 4, 2026. The Company’s registered office in Singapore is 9 Straits View, #06-07, Marina One West Tower, Singapore 018937 and its business address is 29 Media Cir. #05-22, Singapore, 138565 and its telephone number is +65 6591 8840.</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three wholly-owned subsidiaries. Our two directly owned subsidiaries are dMY Squared Technology group, Inc., incorporated under the laws of the State of Massachusetts, and Horizon Quantum Computing Pte. Ltd., a private company limited by shares organized under the laws of the Republic of Singapore. Horizon Quantum Computing (Ireland) Limited, a private company limited by shares and organized under the laws of the Republic of Ireland, is our indirect wholly-owned subsidiary and the direct subsidiaries of Horizon Quantum Computing Pte. Ltd.</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19, 2026, the Company consummated the previously announced Business Combination with DMY, pursuant to the Business Combination Agreement by and among DMY, the Company, Merger Sub 1, the Merger Sub 2, and Horizon. See Explanatory Note.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with DMY</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19, 2026, Company consummated the previously announced business combination with DMY, pursuant to the Business Combination Agreement by and among DMY, the Company, Merger Sub 1, Merger Sub 2, and Horizon.</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Amalgamation Effective Time, the Amalgamation occurred, with Horizon surviving the Amalgamation as a wholly-owned subsidiary of the Company and the outstanding shares of Horizon being converted into the right to receive shares of the Company’s Company Class A Shares or the right to receive shares of the Company’s Company Class B Shares, as the case may be. Subsequent to the Amalgamation, the Merger occurred, with DMY surviving the Merger as a wholly-owned subsidiary of the Company and the outstanding securities of DMY being converted into the right to receive Company Class A Shares and/or Company Warrants of the Company.</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Business Combination Agreement, the aggregate Merger Consideration was paid at the Closing.</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Business Combination, (a) each issued and outstanding Horizon Ordinary Shares was automatically converted into the right to receive a number of Company Shares (as defined below) equal to the Exchange Ratio, on the terms and subject to the conditions of the Business Combination Agreement (b) the shares of Horizon that were held by Joseph Fitzsimons, the Chief Executive Officer and Chairman of the Board of Horizon and the Company, that were issued and outstanding immediately prior to the Amalgamation Effective Time were cancelled and converted into the right to receive such number of Company Class B Shares equal to the Exchange Ratio and in accordance with the Business Combination Agreement, with each such Company Class B Ordinary Share entitling each holder thereof to three (3) votes for each Company Class B Ordinary Share held (c) each SAFE was canceled and automatically deemed represent the right to receive a number of Company Class A Shares equal to the Exchange Ratio multiplied by the number of Horizon ordinary shares (on an as-converted basis) subject to such SAFE, and (d) each outstanding and unexercised Horizon Option became a Company Option containing the same terms, conditions, vesting and other provisions as are currently applicable to such Horizon Options, provided that each Company Option are exercisable for the number of Company Class A Shares equal to the Exchange Ratio multiplied by the number of Horizon Ordinary Shares subject to the Horizon Option as of immediately prior to the Amalgamation Effective Time, rounded down to the nearest whole share, at an exercise price equal to the per share exercise price of the Horizon Option divided by the Exchange Ratio, rounded up to the nearest whole cent.</w:t>
      </w:r>
    </w:p>
    <w:p>
      <w:pPr>
        <w:spacing w:after="0" w:line="1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the completion of the Amalgamation and prior to the Merger, (1) DMY effected the redemption of the shares of the DMY Class A Shares, initially issued as part of the Public Shares that were submitted for redemption and not withdrawn, (2) each outstanding share of DMY Class B Shares underwent the Class B Share Conversion, and (3) each DMY Unit underwent the Unit Separation and the holder of each DMY Unit was deemed to hold one DMY Class A Share and one-half of one DMY Public Warrants.</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(a) each outstanding DMY Class A Share (excluding any Public Shares which were redeemed) were automatically converted into the right to receive one Company Class A Ordinary Share, (b) each outstanding whole DMY Public Warrant (including DMY Public Warrants issued upon the Unit Separation) were assumed by the Company and became Company Public Warrants, and (c) each outstanding DMY Private Warrants was assumed by the Company and became Company Private Warrants.</w:t>
      </w:r>
    </w:p>
    <w:p>
      <w:pPr>
        <w:spacing w:after="0" w:line="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4, 2025 and March 6, 2026, the Company entered into the “PIPE Subscription Agreements” with DMY, Horizon and the PIPE Investors, pursuant to which, among other things, the PIPE Investors agreed to subscribe for and purchase, and the Company agreed to the PIPE Private Placement in connection with a financing effort related to the transactions contemplated by the Business Combination Agreement. The PIPE Private Placement was consummated simultaneously with the closing of the Business Combination. Further, on March 6, 2026, DMY, the Company and Horizon offered to each PIPE Investor the option to elect to satisfy their PIPE Investment by purchasing Open-Market Purchase Shares no later than one (1) Business Day prior to the redemption deadline for the Special Meeting, which purchases would result in a Reduction Right (as defined below).</w:t>
      </w:r>
    </w:p>
    <w:p>
      <w:pPr>
        <w:spacing w:after="0" w:line="1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20, 2026, the Company Class A Shares and Company Public Warrants commenced trading on Nasdaq under the symbols “HQ” and “HQWWW,”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Agreements in connection with the Business Combination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the Holders of Founder Shares, and the holders of Horizon’s capital stock (the “</w:t>
      </w:r>
      <w:r>
        <w:rPr>
          <w:rFonts w:ascii="Times New Roman" w:cs="Times New Roman" w:eastAsia="Times New Roman" w:hAnsi="Times New Roman"/>
          <w:sz w:val="18"/>
          <w:szCs w:val="18"/>
          <w:b w:val="1"/>
          <w:bCs w:val="1"/>
          <w:color w:val="auto"/>
        </w:rPr>
        <w:t>Lock-Up Securityholders</w:t>
      </w:r>
      <w:r>
        <w:rPr>
          <w:rFonts w:ascii="Times New Roman" w:cs="Times New Roman" w:eastAsia="Times New Roman" w:hAnsi="Times New Roman"/>
          <w:sz w:val="18"/>
          <w:szCs w:val="18"/>
          <w:color w:val="auto"/>
        </w:rPr>
        <w:t>”) entered into lock-up agreements with the Company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pursuant to which certain of the Company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the Lock-Up Security Holders (the “</w:t>
      </w:r>
      <w:r>
        <w:rPr>
          <w:rFonts w:ascii="Times New Roman" w:cs="Times New Roman" w:eastAsia="Times New Roman" w:hAnsi="Times New Roman"/>
          <w:sz w:val="18"/>
          <w:szCs w:val="18"/>
          <w:b w:val="1"/>
          <w:bCs w:val="1"/>
          <w:color w:val="auto"/>
        </w:rPr>
        <w:t>Lock-Up Shares</w:t>
      </w:r>
      <w:r>
        <w:rPr>
          <w:rFonts w:ascii="Times New Roman" w:cs="Times New Roman" w:eastAsia="Times New Roman" w:hAnsi="Times New Roman"/>
          <w:sz w:val="18"/>
          <w:szCs w:val="18"/>
          <w:color w:val="auto"/>
        </w:rPr>
        <w:t>”) are subject to lock-up during the period immediately following the Closing until the earlier of (i) the date that is 24 months after the Closing and (ii) the date on which the Company completes a liquidation, merger, capital share exchange, reorganization or other similar transaction that results in all of the Company’s shareholders having the right to exchange their Company Shares for cash, securities, or other property (the “</w:t>
      </w:r>
      <w:r>
        <w:rPr>
          <w:rFonts w:ascii="Times New Roman" w:cs="Times New Roman" w:eastAsia="Times New Roman" w:hAnsi="Times New Roman"/>
          <w:sz w:val="18"/>
          <w:szCs w:val="18"/>
          <w:b w:val="1"/>
          <w:bCs w:val="1"/>
          <w:color w:val="auto"/>
        </w:rPr>
        <w:t>Shares Lock-Up Period</w:t>
      </w:r>
      <w:r>
        <w:rPr>
          <w:rFonts w:ascii="Times New Roman" w:cs="Times New Roman" w:eastAsia="Times New Roman" w:hAnsi="Times New Roman"/>
          <w:sz w:val="18"/>
          <w:szCs w:val="18"/>
          <w:color w:val="auto"/>
        </w:rPr>
        <w:t>”) and the Company Warrants and underlying Company Shares will be subject to lock-up during the period immediately following the Closing Date until the date that is 30 days after the Closing (the “</w:t>
      </w:r>
      <w:r>
        <w:rPr>
          <w:rFonts w:ascii="Times New Roman" w:cs="Times New Roman" w:eastAsia="Times New Roman" w:hAnsi="Times New Roman"/>
          <w:sz w:val="18"/>
          <w:szCs w:val="18"/>
          <w:b w:val="1"/>
          <w:bCs w:val="1"/>
          <w:color w:val="auto"/>
        </w:rPr>
        <w:t>Warrants Lock-Up Period</w:t>
      </w:r>
      <w:r>
        <w:rPr>
          <w:rFonts w:ascii="Times New Roman" w:cs="Times New Roman" w:eastAsia="Times New Roman" w:hAnsi="Times New Roman"/>
          <w:sz w:val="18"/>
          <w:szCs w:val="18"/>
          <w:color w:val="auto"/>
        </w:rPr>
        <w:t>”). Prior to the Closing, the Company, Horizon, and DMY agreed to waive the lock-up restrictions on approximately 9.0% of the Company Class A Shares held by each non-affiliate shareholders. An aggregate of approximately 39,627,691 million Lock-up Shares are subject to the Share Lock-Up Period, representing approximately 76.9% of the total issued and outstanding Company Shares. An aggregate of 2,884,660 Sponsor Warrants, and the underlying 2,884,660 Company Class A Shares issuable upon the exercise of the Sponsor Warrants, are subject to the Warrants Lock-Up Period, representing approximately 47.7% of the issued and outstanding Company Warrants. The form of Lock-Up Agreement is attached as Exhibit 10.1 to the registration statement of which this prospectus forms a part.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Agreements with PIPE Investors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4, 2025, DMY, the Company, and Horizon entered into PIPE Subscription Agreements with the PIPE Investors, pursuant to which the Company has agreed to issue and sell, and the PIPE Investors agreed to subscribe for and purchase, an aggregate of $110,412,500 of Company Class A Shares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at a per share price equal to the Redemption Price. At the time of the Business Combination, the Redemption Price was $11.82.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6, 2026, DMY, the Company, and Horizon entered into additional PIPE Subscription Agreements with additional PIPE Investors, pursuant to which the Company agreed to issue and sell, and the additional PIPE Investors agreed to subscribe for and purchase an additional $1,450,000 of PIPE Shares, at a per share price equal to the Redemption Price. The additional proceeds include a $1,000,000 investment by Penchant Family Holdings LLC, an entity controlled by Penchant Holdings, Inc., its Managing Member, of which Danielle Lambert serves as its President. Ms. Lambert is a director of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on March 6, 2026, DMY, the Company and Horizon offered to each PIPE Investor the option to elect to satisfy their purchase obligation by purchasing Open-Market Purchase Shares no later than one (1) Business Day prior to the redemption deadline for the Special Meeting. The use of either Currently Owned Shares and/or Open-Market Purchase Shares would reduce the number of PIPE Shares that such PIPE Investor is obligated to purchase pursuant to the Subscription Agreement on a one-for-one basis (the “</w:t>
      </w:r>
      <w:r>
        <w:rPr>
          <w:rFonts w:ascii="Times New Roman" w:cs="Times New Roman" w:eastAsia="Times New Roman" w:hAnsi="Times New Roman"/>
          <w:sz w:val="18"/>
          <w:szCs w:val="18"/>
          <w:b w:val="1"/>
          <w:bCs w:val="1"/>
          <w:color w:val="auto"/>
        </w:rPr>
        <w:t>Reduction Right</w:t>
      </w:r>
      <w:r>
        <w:rPr>
          <w:rFonts w:ascii="Times New Roman" w:cs="Times New Roman" w:eastAsia="Times New Roman" w:hAnsi="Times New Roman"/>
          <w:sz w:val="18"/>
          <w:szCs w:val="18"/>
          <w:color w:val="auto"/>
        </w:rPr>
        <w:t>”). An aggregate of 267,807 Open Market Purchase Shares were purchased by a total of three investors (the “</w:t>
      </w:r>
      <w:r>
        <w:rPr>
          <w:rFonts w:ascii="Times New Roman" w:cs="Times New Roman" w:eastAsia="Times New Roman" w:hAnsi="Times New Roman"/>
          <w:sz w:val="18"/>
          <w:szCs w:val="18"/>
          <w:b w:val="1"/>
          <w:bCs w:val="1"/>
          <w:color w:val="auto"/>
        </w:rPr>
        <w:t>Reduced Investors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Currently Owned Shares</w:t>
      </w:r>
      <w:r>
        <w:rPr>
          <w:rFonts w:ascii="Times New Roman" w:cs="Times New Roman" w:eastAsia="Times New Roman" w:hAnsi="Times New Roman"/>
          <w:sz w:val="18"/>
          <w:szCs w:val="18"/>
          <w:color w:val="auto"/>
        </w:rPr>
        <w:t>” means shares of DMY Class A Shares the PIPE Investor or its affiliates beneficially own as of March 9, 2026. “</w:t>
      </w:r>
      <w:r>
        <w:rPr>
          <w:rFonts w:ascii="Times New Roman" w:cs="Times New Roman" w:eastAsia="Times New Roman" w:hAnsi="Times New Roman"/>
          <w:sz w:val="18"/>
          <w:szCs w:val="18"/>
          <w:b w:val="1"/>
          <w:bCs w:val="1"/>
          <w:color w:val="auto"/>
        </w:rPr>
        <w:t>Open-Market Purchase Shares</w:t>
      </w:r>
      <w:r>
        <w:rPr>
          <w:rFonts w:ascii="Times New Roman" w:cs="Times New Roman" w:eastAsia="Times New Roman" w:hAnsi="Times New Roman"/>
          <w:sz w:val="18"/>
          <w:szCs w:val="18"/>
          <w:color w:val="auto"/>
        </w:rPr>
        <w:t>” means DMY Class A Shares purchased by the PIPE Investor for its own account pursuant to open-market transactions with third parties at a per share price less than the Redemption Price.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Reduction Right was subject to the Reduced Investors having agreed (i) not to sell or otherwise transfer such Open-Market Purchase Shares prior to the consummation of the Business Combination, (ii) not to vote any Open-Market Purchase Shares in favor of approving the Business Combination and instead submit a proxy abstaining from voting thereon, and (iii) to the extent it has the right to have any of its Open-Market Purchase Shares redeemed for cash in connection with the consummation of the Business Combination, not to exercise any such redemption rights (collectively, the “</w:t>
      </w:r>
      <w:r>
        <w:rPr>
          <w:rFonts w:ascii="Times New Roman" w:cs="Times New Roman" w:eastAsia="Times New Roman" w:hAnsi="Times New Roman"/>
          <w:sz w:val="18"/>
          <w:szCs w:val="18"/>
          <w:b w:val="1"/>
          <w:bCs w:val="1"/>
          <w:color w:val="auto"/>
        </w:rPr>
        <w:t>Open-Market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Reduction Conditions</w:t>
      </w:r>
      <w:r>
        <w:rPr>
          <w:rFonts w:ascii="Times New Roman" w:cs="Times New Roman" w:eastAsia="Times New Roman" w:hAnsi="Times New Roman"/>
          <w:sz w:val="18"/>
          <w:szCs w:val="18"/>
          <w:color w:val="auto"/>
        </w:rPr>
        <w:t>”). With respect to the Currently Owned Shares, the Reduction Right is subject to the PIPE Investors having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causing their affiliates to: (i) not sell or otherwise transfer such Currently Owned Shares prior to the consummation of the Business Combination; (ii) vote all Currently Owned Shares in favor of approving the Business Combination or any extension of DMY; and (iii) to the extent it has the right to have any of its Currently Owned Shares redeemed for cash in connection with the consummation of the Business Combination or in connection with any extension of DMY, not exercise any such redemption rights (the “</w:t>
      </w:r>
      <w:r>
        <w:rPr>
          <w:rFonts w:ascii="Times New Roman" w:cs="Times New Roman" w:eastAsia="Times New Roman" w:hAnsi="Times New Roman"/>
          <w:sz w:val="18"/>
          <w:szCs w:val="18"/>
          <w:b w:val="1"/>
          <w:bCs w:val="1"/>
          <w:color w:val="auto"/>
        </w:rPr>
        <w:t>Currently Owned Shares Reduction Conditions</w:t>
      </w:r>
      <w:r>
        <w:rPr>
          <w:rFonts w:ascii="Times New Roman" w:cs="Times New Roman" w:eastAsia="Times New Roman" w:hAnsi="Times New Roman"/>
          <w:sz w:val="18"/>
          <w:szCs w:val="18"/>
          <w:color w:val="auto"/>
        </w:rPr>
        <w:t>”). The Reduced Investors were required to deliver a certificate to DMY, the Company and Horizon no later than one Business Days prior to the Redemption Deadline certifying that such PIPE Investor has and will comply with the Open-Market Purchase Reduction Conditions, and Currently Owned Shares Reduction Conditions, among other things. The terms of the Reduction Right are set forth in an amendment to the PIPE Subscription Agreement (the “</w:t>
      </w:r>
      <w:r>
        <w:rPr>
          <w:rFonts w:ascii="Times New Roman" w:cs="Times New Roman" w:eastAsia="Times New Roman" w:hAnsi="Times New Roman"/>
          <w:sz w:val="18"/>
          <w:szCs w:val="18"/>
          <w:b w:val="1"/>
          <w:bCs w:val="1"/>
          <w:color w:val="auto"/>
        </w:rPr>
        <w:t>PIPE Amendment</w:t>
      </w:r>
      <w:r>
        <w:rPr>
          <w:rFonts w:ascii="Times New Roman" w:cs="Times New Roman" w:eastAsia="Times New Roman" w:hAnsi="Times New Roman"/>
          <w:sz w:val="18"/>
          <w:szCs w:val="18"/>
          <w:color w:val="auto"/>
        </w:rPr>
        <w:t>”), a form of which is included as Exhibit 4.4 to this prospectus.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PIPE Private Placement closed substantially concurrently with the closing of the Business Combination. Pursuant to the PIPE Subscription Agreements, the Company has also agreed to file with the SEC (at the Company’s sole cost and expense), within 15 business days after the consummation of the PIPE Private Placement (such deadline subject to extension in the event of SEC closures or the unavailability of required financial statements), a registration statement registering the resale of the PIPE Shares, and to use its commercially reasonable efforts to have the registration statement declared effective as soon as practicable after the filing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its PIPE Subscription Agreement, the Company, DMY, Horizon and IonQ, Inc. (“</w:t>
      </w:r>
      <w:r>
        <w:rPr>
          <w:rFonts w:ascii="Times New Roman" w:cs="Times New Roman" w:eastAsia="Times New Roman" w:hAnsi="Times New Roman"/>
          <w:sz w:val="18"/>
          <w:szCs w:val="18"/>
          <w:b w:val="1"/>
          <w:bCs w:val="1"/>
          <w:color w:val="auto"/>
        </w:rPr>
        <w:t>IonQ</w:t>
      </w:r>
      <w:r>
        <w:rPr>
          <w:rFonts w:ascii="Times New Roman" w:cs="Times New Roman" w:eastAsia="Times New Roman" w:hAnsi="Times New Roman"/>
          <w:sz w:val="18"/>
          <w:szCs w:val="18"/>
          <w:color w:val="auto"/>
        </w:rPr>
        <w:t>”), one of the PIPE Investors, entered into the IonQ side letter (the “</w:t>
      </w:r>
      <w:r>
        <w:rPr>
          <w:rFonts w:ascii="Times New Roman" w:cs="Times New Roman" w:eastAsia="Times New Roman" w:hAnsi="Times New Roman"/>
          <w:sz w:val="18"/>
          <w:szCs w:val="18"/>
          <w:b w:val="1"/>
          <w:bCs w:val="1"/>
          <w:color w:val="auto"/>
        </w:rPr>
        <w:t>IonQ Side Letter</w:t>
      </w:r>
      <w:r>
        <w:rPr>
          <w:rFonts w:ascii="Times New Roman" w:cs="Times New Roman" w:eastAsia="Times New Roman" w:hAnsi="Times New Roman"/>
          <w:sz w:val="18"/>
          <w:szCs w:val="18"/>
          <w:color w:val="auto"/>
        </w:rPr>
        <w:t>”), which includes, among other things that: (i) IonQ will have a right to select one initial director of the Company to serve on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after the Closing who shall (i) qualify as an independent director under Nasdaq rules, (ii) be unaffiliated with IonQ and (iii) be subject to Horizon’s, the Company’s, and DMY’s approval; (ii) for so long as IonQ holds not less than 5% of the Company’s outstanding voting securities, IonQ will have the right to nominate one director to serve on the Company’s Board who shall (x) qualify as an independent director under Nasdaq rules, (y) be unaffiliated with IonQ and (z) be subject to the Company’s approval; (iii) IonQ will enter into a lock-up agreement with the Company, in substantially the same form as the lock-up agreement included as Exhibit 10.1 to this prospectus, pursuant to which IonQ will agree not to transfer (except for certain permitted transfers as set forth therein) the PIPE Shares until the earlier of 18 months after the Closing and the Shares Lock-Up Period; (iv) the closing of the IonQ PIPE Subscription Agreement will be conditioned on the entry into a commercial agreement by the parties relating to the purchase by the Company or Horizon of quantum computing hardware from IonQ; and (v) subject to certain exceptions, for so long as IonQ holds not less than 5% of the Company’s outstanding voting securities, IonQ shall have a right to be notified of (x) the Company’s receipt of an offer to acquire 5% or more of its outstanding voting securities or assets and (y) terms of any proposed sale of securities of the Company in which the aggregate proceeds are expected to equal or exceed $10 million. On March 9, 2026, the Company, DMY, Horizon and IonQ agreed to amend the IonQ Side Letter (the “</w:t>
      </w:r>
      <w:r>
        <w:rPr>
          <w:rFonts w:ascii="Times New Roman" w:cs="Times New Roman" w:eastAsia="Times New Roman" w:hAnsi="Times New Roman"/>
          <w:sz w:val="18"/>
          <w:szCs w:val="18"/>
          <w:b w:val="1"/>
          <w:bCs w:val="1"/>
          <w:color w:val="auto"/>
        </w:rPr>
        <w:t>IonQ Amendment</w:t>
      </w:r>
      <w:r>
        <w:rPr>
          <w:rFonts w:ascii="Times New Roman" w:cs="Times New Roman" w:eastAsia="Times New Roman" w:hAnsi="Times New Roman"/>
          <w:sz w:val="18"/>
          <w:szCs w:val="18"/>
          <w:color w:val="auto"/>
        </w:rPr>
        <w:t>”) to waive the entrance into a commercial agreement, as described in (iv) above, as a condition of the IonQ Side Letter. Furthermore, on March 11, 2026, the Company, DMY, Horizon and IonQ agreed to waive the right to select a director, as described in (i) above, as a condition of closing. For the purposes of clarity IonQ have retained the right to propose director nominees as described in (ii) above. The The IonQ Side Letter and the IonQ Amendment are attached as Exhibits 10.13 and 10.14, respectively, to the registration statement of which this prospectus forms a part.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IonQ Quantum Systems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31, 2026, the Company entered into a Quantum Systems Agreement (the “</w:t>
      </w:r>
      <w:r>
        <w:rPr>
          <w:rFonts w:ascii="Times New Roman" w:cs="Times New Roman" w:eastAsia="Times New Roman" w:hAnsi="Times New Roman"/>
          <w:sz w:val="18"/>
          <w:szCs w:val="18"/>
          <w:b w:val="1"/>
          <w:bCs w:val="1"/>
          <w:color w:val="auto"/>
        </w:rPr>
        <w:t>IonQ Agreement</w:t>
      </w:r>
      <w:r>
        <w:rPr>
          <w:rFonts w:ascii="Times New Roman" w:cs="Times New Roman" w:eastAsia="Times New Roman" w:hAnsi="Times New Roman"/>
          <w:sz w:val="18"/>
          <w:szCs w:val="18"/>
          <w:color w:val="auto"/>
        </w:rPr>
        <w:t>”) with IonQ. The IonQ Agreement governs a strategic, long-term relationship under which IonQ will design, procure, install, and support a dedicated trapped-ion quantum computing system for the Company and provide associated compute, consulting, training, and technical support services, primarily on an on-site and exclusive basis. Pursuant to the IonQ Agreement, IonQ will procure, construct, install, and verify a trapped-ion quantum computing system meeting specified performance benchmarks and install it in a data center designated and operated by the Company. Upon acceptance, title to the physical system transfers to the Company, with IonQ providing maintenance, technical support, quarterly technical reports, and consulting and training services. Both the Company and IonQ shall retain ownership of their respective intellectual property rights, including their own technology and related software. The Company shall own all inputs and computation results, while IonQ shall retain ownership of the IonQ technology and related software specifically licensed under the IonQ Agreement only, granting the Company limited licenses for use during the term. The total consideration to be paid by the Company under the initial statement of work is US$35 million. The Company may choose to exercise a one-year extension for additional consideration.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IonQ Agreement is effective as of March 31, 2026, and continues for the duration of the applicable statement(s) of work. The initial statement of work has a three-year term from system acceptance, with a one-year extension option exercisable by the Company. Either the Company or IonQ may terminate the IonQ Agreement for material breach not cured within 30 days or upon insolvency of the other party. The IonQ Agreement additionally includes mutual intellectual property indemnities and limitations of liability generally capped at fees paid or payable, subject to customary carve-outs. The services and technology are provided pursuant to the IonQ Agreement are on an experimental, “as is” basis. The foregoing summary of the IonQ Agreement is qualified in its entirety by reference to the full text of the IonQ Agreement, which is filed herewith as Exhibit 10.15 to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 AGENT FOR SERVICE OF PROCESS IN THE UNITED STATES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incorporated under the laws of the Republic of Singapore, and certain of its officers and directors are residents outside the U.S. In addition, a significant portion of its operations and business is conducted, and a substantial portion of its assets are located, outside the 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is incorporated outside the U.S., it has agreed to accept service of process in the U.S. through Puglisi &amp; Associates, its agent designated for that purpose, located at 850 Library Avenue, Suite 204, Newark, DE 19711. Nevertheless, since a substantial portion of the assets owned by the Company are located outside the U.S., any judgment obtained in the U.S. against the Company may not be collectible within the 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investor may or may not be able to commence an original action against the Company or its directors or officers, or any person, before the courts outside the U.S. to enforce liabilities under U.S. federal securities laws, depending on the nature of the 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In making a determination as to enforceability of a foreign judgment, the Singapore courts need to be satisfied that the foreign judgment was final and conclusive and on the merits of the case, given by a court of law of competent jurisdiction, and was expressed to be for a fixed sum of money. In general, a foreign judgment would be enforceable in Singapore unless procured by fraud, or if the proceedings in which such judgments were obtained were not conducted in accordance with principles of natural justice, or if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U.S. permit the award of punitive damages against the Company and its directors and officers. The Singapore courts do not allow the enforcement of foreign judgments which amount to the direct or indirect enforcement of foreign penal, revenue or other public laws. It is uncertain as to whether a judgment of the courts of the U.S. awarding such punitive damages would be regarded by the Singapore courts as being pursuant to foreign, penal, revenue or other public laws. Such determination has yet to be conclusively made by a Singapore court in a reported decision.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holders of book entry interests in Company Shares will be required to be registered as shareholders in its register of members in order to have standing to bring a shareholder suit and, if successful, to enforce a foreign judgment against the Company, its directors or its executive officers in the Singapore courts, subject to applicable Singapore laws. A holder of book entry interests in Company Shares may become the Company’s registered shareholder by exchanging its interest in Company Shares for certificated ordinary shares and being registered in the Company’s register of members. The administrative process of becoming a registered shareholder could result in delays prejudicial to any legal proceeding or enforcement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section to “the Company,” “Horizon,” “we,” “our” or “us” refer to Horizon Quantum Holdings Ltd., a Singapore public company limited by shares,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is building software infrastructure to make quantum computers accessible to commercial enterprises and hardware providers. By bridging the gap between today’s hardware and tomorrow’s applications, Horizon seeks to equip developers, researchers, and enterprises with the quantum software infrastructure needed to solve real-world problems.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do this, Horizon is following an ambitious plan to create development tools that can automatically accelerate code written for conventional computers on quantum computers. With this differentiated approach, Horizon is developing methods to generate quantum-accelerated solutions — exploiting quantum effects such as superposition and entanglement — from legacy code and conventional software.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Today, Horizon’s Triple Alpha software is an integrated development environment that gives users access to Horizon’s development, deployment, and execution infrastructure. It enables developers to create sophisticated, portable, hardware-agnostic quantum programs. Users can code at multiple abstraction levels, compile and optimize programs across many real quantum computers and simulators, and deploy applications as Application Programming Interfaces (“</w:t>
      </w:r>
      <w:r>
        <w:rPr>
          <w:rFonts w:ascii="Times New Roman" w:cs="Times New Roman" w:eastAsia="Times New Roman" w:hAnsi="Times New Roman"/>
          <w:sz w:val="18"/>
          <w:szCs w:val="18"/>
          <w:b w:val="1"/>
          <w:bCs w:val="1"/>
          <w:color w:val="auto"/>
        </w:rPr>
        <w:t>APIs</w:t>
      </w:r>
      <w:r>
        <w:rPr>
          <w:rFonts w:ascii="Times New Roman" w:cs="Times New Roman" w:eastAsia="Times New Roman" w:hAnsi="Times New Roman"/>
          <w:sz w:val="18"/>
          <w:szCs w:val="18"/>
          <w:color w:val="auto"/>
        </w:rPr>
        <w:t>”). Horizon has key collaborative relationships with leading hardware providers including Alice &amp; Bob, Oxford Quantum Circuits Ltd., QuEra Computing Inc., and Rigetti Computing, Inc. (“</w:t>
      </w:r>
      <w:r>
        <w:rPr>
          <w:rFonts w:ascii="Times New Roman" w:cs="Times New Roman" w:eastAsia="Times New Roman" w:hAnsi="Times New Roman"/>
          <w:sz w:val="18"/>
          <w:szCs w:val="18"/>
          <w:b w:val="1"/>
          <w:bCs w:val="1"/>
          <w:color w:val="auto"/>
        </w:rPr>
        <w:t>Rigetti</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Business Model — Hardware Vendors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Triple Alpha is currently in early access with select vendors. Horizon has received inbound interest in early access requests from more than 40 major corporations, 90 universities, 13 quantum software companies, and 18 national labs, government agencies and research organizations.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is still in the early stages of scaling its business. Since its inception, Horizon has incurred operating losses. Its ability to generate revenue sufficient to achieve profitability will depend heavily on the further development and commercialization of quantum computers and their software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Quantum Software Opportunity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its emergence in the 1950s, conventional computing has dramatically altered the way humans live, work, and do business. As powerful as conventional computers have become, there are still many calculations they can’t perform.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Unlike conventional computers, which process information as 0s or 1s, quantum computers store and process information as quantum states. Quantum computers use qubits — which can exist simultaneously in a superposition of both 0 and 1. Qubits in superposition can explore different branches of a computation, and quantum computers can use quantum interference to extract information from that superposition to accelerate certain calculations.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these capabilities, quantum computers have the potential to tackle problems that have long been intractable for conventional computers, such as simulating complex physical systems (from molecular dynamics to fluid flow), accelerating training and inference in machine learning, and solving hard optimization problems across many industries.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decades, conventional computers improved because integrated circuits followed Moore’s Law: the number of transistors on a chip doubled about every two years, resulting in exponential growth. However, in recent years, this progress has begun to hit physical limits, with the rate of improvement in important performance metrics, such as clock speed and single thread performance, slowing or stopping entirely.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Meanwhile, the power of quantum computers is predicted to grow double exponentially with time — a phenomenon known as Neven’s Law. The number of qubits in quantum computers is doubling regularly, more frequently than transistors doubled in classical computing, but for each incremental qubit, quantum processors become up to twice as hard to simulate. As qubits scale and become more reliable, classical simulation moves out of reach.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years of anticipation, recent advances at the quantum hardware level suggest that quantum advantage — the point at which quantum computing’s capabilities begin to surpass those of conventional computing — is drawing near. In late 2024, multi-round quantum error correction was convincingly demonstrated for the first time, paving the way for reliable quantum computers. The resources needed to produce error-free logical qubits have fallen by orders of magnitude in recent years, and multiple demonstrations have shown that classical computers can no longer easily simulate quantum ones. The Global Risk Institute’s 2024 report on the state of quantum found that most experts surveyed expect useful commercial applications for quantum computers to emerge in the next three to five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But hardware is only half the battle. Every computer needs software to be effective, and classical code doesn’t run on quantum machines.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ability to exploit quantum effects gives quantum computers their power, it also makes constructing quantum algorithms especially difficult. To achieve an advantage over classical computation, quantum algorithms must harness interference between different branches in a quantum superposition. Less than a few hundred specialists worldwide have demonstrated the ability to create new quantum algorithms. Without a deep knowledge of quantum mechanics, most developers and domain experts are forced to shoehorn their problems into a limited set of known algorithms rather than create new ones specific to their use case.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believes that the industry’s recent breakthroughs have fundamentally changed the commercial trajectory for quantum computers. However, a looming question remains: if every company had access to fault-tolerant quantum computers tomorrow, who would program them?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believes that programming quantum computers should be as accessible and straightforward as programming conventional ones. The company is pursuing the goal of making quantum computing accessible to every software developer — regardless of quantum expertise — to enable the widespread, commercial adoption of quantum computing. In pursuit of this goal, Horizon has developed techniques for automatically constructing quantum accelerated applications based on code written for conventional computers and has developed software infrastructure to close the gap between classical and quantum software development.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Horizon’s integrated development environment, aims to set the gold standard for developing and deploying applications on quantum computers. Triple Alpha contains proprietary languages and a compiler, which allow developers to create sophisticated applications that make use of advanced features such as full control flow and dynamic memory allocation in quantum programs, while leveraging Horizon’s deployment and execution infrastructure to run these programs on today’s quantum computers. See “</w:t>
      </w:r>
      <w:r>
        <w:rPr>
          <w:rFonts w:ascii="Times New Roman" w:cs="Times New Roman" w:eastAsia="Times New Roman" w:hAnsi="Times New Roman"/>
          <w:sz w:val="18"/>
          <w:szCs w:val="18"/>
          <w:i w:val="1"/>
          <w:iCs w:val="1"/>
          <w:color w:val="auto"/>
        </w:rPr>
        <w:t>—Horizon’s Technology</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Horizon believes that the recent pace of hardware advancement suggests that software development will become the limiting factor for real-world applications of quantum advantage. As quantum computing reaches an inflection point, Horizon believes its product development and go-to-market roadmap can deliver the software infrastructure needed to realize practical quantum advantage. While many current quantum software development tools are locked to specific hardware or limited to expressing only static circuits, Horizon expects that its hardware-agnostic approach will allow users to transfer skills and applications across machines, regardless of the vendor or underlying modality, while still taking advantage of advanced capabilities such as dynamic circuits and pulse-level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Approach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Applications Bottleneck: Three Factors Limiting Quantum Software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Three interrelated challenges are limiting quantum software development.</w:t>
      </w:r>
    </w:p>
    <w:p>
      <w:pPr>
        <w:spacing w:after="0" w:line="223" w:lineRule="exact"/>
        <w:rPr>
          <w:sz w:val="20"/>
          <w:szCs w:val="20"/>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Algorithm design </w:t>
      </w:r>
      <w:r>
        <w:rPr>
          <w:rFonts w:ascii="Times New Roman" w:cs="Times New Roman" w:eastAsia="Times New Roman" w:hAnsi="Times New Roman"/>
          <w:sz w:val="18"/>
          <w:szCs w:val="18"/>
          <w:color w:val="auto"/>
        </w:rPr>
        <w:t>— The difficulty of writing quantum algorithms is a major barrier. Less than a few hundred specialists worldwide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quantum expertise to create them. Translating real-world problems into quantum code requires an even rarer combination of skills: deep understanding of the intricacies of both quantum algorithms and the relevant application domain, such as chemistry or finance, which is possessed by only a handful of professionals worldwide.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Hardware abstraction </w:t>
      </w:r>
      <w:r>
        <w:rPr>
          <w:rFonts w:ascii="Times New Roman" w:cs="Times New Roman" w:eastAsia="Times New Roman" w:hAnsi="Times New Roman"/>
          <w:sz w:val="18"/>
          <w:szCs w:val="18"/>
          <w:color w:val="auto"/>
        </w:rPr>
        <w:t>— The hardware landscape is diverse and highly fragmented. Each competing platform has its own strengths,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and instruction sets, making it extremely difficult to write programs that run efficiently on multiple devices without substantial rewriting.</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Programming abstraction </w:t>
      </w:r>
      <w:r>
        <w:rPr>
          <w:rFonts w:ascii="Times New Roman" w:cs="Times New Roman" w:eastAsia="Times New Roman" w:hAnsi="Times New Roman"/>
          <w:sz w:val="18"/>
          <w:szCs w:val="18"/>
          <w:color w:val="auto"/>
        </w:rPr>
        <w:t>— Most available quantum software development tools require a low-level, gate-by-gate programming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absence of high-level abstractions limits developers’ ability to focus on the computational problem itself, forcing them instead to grapple with the mechanics of circuit construction and quantum gates. This complexity also prevents many classical programmers from engaging with the technology as it emerges.</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Together, these factors form an applications bottleneck — one that’s poised to slow the commercial adoption of quantum computing by constraining the development of practical, scalable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Horizon’s Approach to Algorithm Design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Today, practitioners generally take two broad approaches to constructing quantum algorithms.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first approach focuses on identifying structures within a problem that a quantum computer can exploit using quantum interference, thereby producing a solution. This method requires carefully analyzing the problem, uncovering these structures and looking for opportunities to exploit known techniques, such as the quantum Fourier transform, to extract enough useful information to reveal a solution with limited classical computation. This approach requires deep expertise but often produces algorithms that are relatively straightforward to analyze, usually making it clear whether these algorithms offer an advantage over their classical counterparts. Well-known examples include Shor’s algorithm for factoring and Grover’s algorithm for unstructured search.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second approach treats a quantum circuit as a flexible template with adjustable parameters. It uses repeated evaluations of the circuit and classical optimization to find parameter values that achieve the desired outcome. In essence, this amounts to guessing a family of circuits that might contain a circuit capable of solving the problem, then using classical optimization techniques, such as stochastic gradient descent, to tune its parameters to find a solution. Prominent examples of algorithms of this kind include the variational quantum eigensolver (VQE), the quantum approximate optimization algorithm (QAOA), and various variational quantum machine learning approaches. This approach is appealing because it is relatively straightforward to implement on cloud-based quantum computers, and it produces usable results for small problems across many tasks. However, variational algorithms are difficult to analyze, and they provide few guarantees about efficiency or scalability — factors which are key to realizing quantum advantage. They also tend to consume far more compute time than more structured, single-shot algorithms, though they are typically more robust to noise.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takes a different approach to constructing quantum algorithms. The company views algorithm construction as a compilation problem, so rather than attempting to construct algorithms manually for specific problems, it has developed techniques to enable the automatic construction of quantum algorithms from code written for conventional computers. These techniques include decomposing loops and control-flow into simple primitives that can be recognized and replaced with more efficient quantum subroutines and replacing basic algorithms and data structures with more efficient quantum implementations.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this approach, Horizon aims to make quantum acceleration broadly applicable wherever a classical program exists or can be written, eliminating the need for a hand-crafted quantum algorithm for each new problem. Because some classical programs simply cannot be improved using quantum techniques, this approach is not guaranteed to speed up every program. However, the same is true for quantum algorithm design in general.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Horizon’s Approach to Hardware Abstraction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evolution of programming tools developed by hardware vendors have tended to follow a common pattern. Their languages and frameworks have exposed only basic features initially, which are then expanded over time as a manufacturer adds new device capabilities. While this approach lets developers access new features as they become available, the resulting software infrastructure often evolves unevenly. As a result, developers face a moving target when writing software intended to run on future machines, which means that they can generally only begin development work for a future system once its hardware becomes available. This pattern slows down the progress of quantum computing by forcing hardware and software to develop sequentially rather than allowing for parallel development.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Most existing quantum programming frameworks are not built with hardware portability — the ability to run the same quantum program on different types of machines — in mind. Quantum programming approaches that do prioritize portability typically restrict programmers to static, gate-level quantum circuits as a means of maximizing compatibility and reach across platforms. Because static circuit evaluation is a minimum capability requirement supported by most hardware providers, this approach makes it possible to run programs on a relatively wide range of systems. However, the trade-off is limited access to hardware-specific features that differ across systems. Different systems introduce new capabilities — such as control flow and pulse-level control — at different times and in no set order. Because of the diversity of quantum hardware becoming available, fully capturing all these features while maintaining code portability has not yet been possible. As a result, portable programming approaches frequently omit features such as dynamic control, concurrent classical processing, fine-grained timing, and low-level pulse interaction, even though some devices already support them.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Horizon takes a different approach to portability and hardware abstraction. Its programming languages target an idealized abstract machine that pairs a quantum processing unit (QPU) with a classical control computer capable of issuing instructions, receiving results, keeping time, and communicating with external systems. Horizon’s languages (Beryllium, Helium, and Hydrogen) target this model. Its execution infrastructure then maps these programs onto current hardware by orchestrating multiple runs and using post-selection, segmentation, and host-side control to emulate more advanced behavior, including general control flow, classical processing, and networking. This software bridge adds some overhead in terms of the number of shots and latency, but it allows developers to express programs and protocols beyond what today’s hardware directly supports while obtaining results on today’s systems. This approach allows developers to program quantum computers in a flexible, portable, and future-proof way. In effect, it lets them focus on programming an ideal quantum computer rather than requiring that they spend their attention managing the details and limitations of individual devices.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Horizon’s Approach to Programming Abstraction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current state of quantum programming is similar to the early days of classical computing. Most tools still require developers to build quantum circuits gate by gate, sometimes making use of libraries or Python generators. Complete, end-to-end workflows — from describing a problem at a high level to running it on hardware — mostly exist only within specific vendor ecosystems and are often not portable. As a result, developers spend much of their time dealing with the mechanics of circuit construction instead of focusing on the intent of the program.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situation is compounded by inconsistent support for capabilities expected in future systems, such as general control flow, evaluation of classical functions over measurement results, and dynamic memory management. Some platforms already offer a subset of these features, like dynamic circuits/conditionals or selective pulse/timing access, but the level of support varies between providers.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adding in abstraction layer by layer, Horizon’s software infrastructure is designed to make quantum programming more accessible. At its base is Hydrogen, a portable, assembly-like language that supports general control flow and concurrent classical computation. It captures core operations expected of an idealized, future quantum computer. Above Hydrogen sits Helium, a BASIC-like language that retains these capabilities while adding higher-level features, including dynamic memory allocation and automatic generation of quantum circuits from C/C++.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Beryllium, Horizon’s object-oriented programming language, sits above Helium. Horizon previewed Beryllium in December 2025 and anticipates making the language available to Triple Alpha’s early access users in the first half of 2026.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introduction of object-oriented quantum programming — native quantum classes, functions, and libraries — Beryllium is expected to allow developers to define reusable quantum data types analogous to those in modern classical languages by letting programmers define what quantum algorithms should do without requiring that they worry about repeated low-level details, thereby empowering them to focus on high-level operations. With Beryllium, Horizon expects that Triple Alpha users will be able to develop and implement quantum algorithms more efficiently, making use of reusable components and data structures.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Beryllium prioritizes reusability and modularity, making it easier for new programs to draw from a growing library of components. In mature software ecosystems, code modularity produces a well-documented network effect: developers create libraries, which in turn lower the effort required to develop new applications, thereby attracting more developers.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layered approach to quantum programming seeks to enable developers to work at their preferred level of abstraction: those working on algorithm design can start at a higher level compared to those focused on device characterization. Across these layers, each language supports user-defined instruction sets with both gate- and pulse-level control. This design lets teams leverage higher-level abstractions while still expressing low-level behavior — whether reasoning about abstract quantum information processing or engaging directly with the physics of specific processors.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is developing these layers incrementally to seek to provide a stable platform for future integration with its quantum algorithm synthesis techniques, with the ultimate goal of enabling developers to write complete quantum programs using familiar classical languages.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Cloud-first Approach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quantum computers are incredibly sensitive, complex machines requiring highly specialized environments, they are expensive to build, difficult to maintain, and demand a significant amount of expertise to operate. As a result, most quantum computers are not sold for on-premises use; instead, they are housed in secure, controlled facilities and accessed remotely by developers and researchers through the cloud. This model effectively allows anyone with an internet connection to run quantum algorithms, without the prohibitive cost and complexity of owning the hardware themselves.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seeks to enable developers to write, compile, and deploy quantum programs to a variety of remote quantum processors and simulators without needing to own or manage the underlying hardware. The company has taken a cloud-first approach, where the end point of software development is a deployed web API that manages the execution of the quantum program. This approach is intended to allow developers to seamlessly integrate their quantum programs with a wide range of classical software technologies, with those programs being hosted and served through Horizon’s infrastructure.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also operates its own hardware testbed. Offering both tools and hardware as a service simplifies the user experience, enables seamless deployment, and ensures that Horizon’s platform remains hardware-agnostic and scalable, empowering a broad base of developers to engage with quantum computing.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Horizon’s Technology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is designing tools that aim to set a new standard for quantum software development. The company’s core approach has been to develop the software infrastructure for the development, deployment, and execution of quantum programs, with significant technological breakthroughs achieved in the development and execution layers.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Horizon’s integrated development environment, simplifies the process of creating quantum programs by enabling developers to code at various levels of abstraction, using Horizon’s proprietary languages. Most traditional quantum programming frameworks constrain programmers to working with static circuits, which makes algorithm design difficult, limiting what developers can express. Triple Alpha removes this constraint with its Turing-complete languages.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Beryllium is an object-oriented language that is expected to allow developers to use simple classical and quantum building blocks to progressively create richer, higher-level structures by reusing and extending what they have already defined. With Beryllium, developers can think in terms of information structure rather than qubits and low-level processing details. By making use of reusable components and data structures, Horizon believes that developers will able to focus on what quantum algorithms should do without needing to worry about repeated low-level details, which enables more efficient development and implementation of quantum algorithms.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shifting the focus from how information is physically represented and processed in a quantum computer to how it can be structured and transformed, Beryllium is designed to raise the level of abstraction, reducing the need to manage quantum processing directly and making quantum software development more accessible to programmers without deep quantum expertise.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Triple Alpha compiles Beryllium to Helium. Helium is a BASIC-like language that simplifies the development of complex quantum programs by allowing classical and quantum operations to be expressed together in a single language. It introduces familiar control structures — loops, conditionals, subroutines — and supports concurrent classical/quantum flows. Because Helium is a Turing-complete language, developers can express algorithms of arbitrary complexity — including ones whose runtime can’t be determined in advance — unlocking a far broader class of quantum applications than traditional quantum programming framework.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Alpha’s optimizing compiler then translates Helium down into Hydrogen, an assembly-level, architecture-agnostic language that can be further compiled to target specific quantum hardware. A portable, lower-level language, Hydrogen uses a structure of code blocks and conditional jumps to represent control flow constructs from Helium, such as “if” statements and “for” and “while” loops. Triple Alpha users can also work directly in Hydrogen, providing quantum computing experts with finer-grain control over the program structure.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allows users to convert existing C and C++ functions directly into partial quantum circuits, making them available as callable subroutines within Helium. This eliminates the need to hand-design intricate circuits for the classical portions of quantum algorithms. The conversion of these functions into efficient quantum circuits means users can focus on error correction and quantum algorithm design without worrying about the minutiae of implementing functionality as reversible circuits or other gate-level concerns.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the program is in a low-level form, Triple Alpha’s program optimization engine applies peephole optimizations and other methods to simplify logic and remove redundant operations, refining circuits and performing gate sequences. It balances performance trade-offs to generate the most efficient implementation and optimizes the program for the target processor’s topology and instruction set. It outputs code in formats readable by different systems, such as QUA, OpenPulse, or QASM.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Contemporary quantum processors differ widely in instruction sets, so the program optimization engine converts code written in terms of a user-defined instruction set into the native instruction set of the target processor, in a noise-aware manner that respects the processor’s coupling constraints. Triple Alpha also quantifies the resources — such as gate count and qubit usage — required to run programs.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has developed methods to emulate the control flow and other advanced features expressible in Hydrogen on today’s quantum processors using a hybrid classical/quantum approach. As a result, developers can execute programs on almost any quantum hardware, even if the device itself lacks native support for dynamic control. The result is optimized quantum applications that can run across hardware platforms without rewriting, ensuring longevity of code as the hardware landscape evolves.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Triple Alpha gives users access to pulse-level control, enabling developers to directly manipulate the pulses sent to the quantum processor from control systems. Users who want to target specific processors with fine-grain control over their quantum program can also code at the hardware level. At this level, users can write code in Hydrogen or in system-specific languages and frameworks, such as QASM or Quil. This non portable code is customized for constraints (number of qubits, connectivity graph, etc.) specific to the target processor, and users can still take advantage of Horizon’s deployment infrastructure.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Horizon is pursuing ambitious plans to make quantum programming much more accessible to developers with experience programming in classical languages. The company expects to complement its programming languages with deeper automation efforts in algorithm design. Horizon is pioneering a process called quantum algorithm synthesis, which aims to automatically accelerate code written in classical languages. This process works by automatically refactoring classical programs into a fixed set of algorithmic building blocks that can be recognized and replaced by more efficient implementations that exploit quantum processing. The company has previously demonstrated this approach on programs written in a common subset of Matlab/Octave and holds patents on the technology (see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Building on the lessons learned from constructing Triple Alpha, Horizon plans to incorporate methods for algorithm synthesis into its compiler. The company’s ultimate objective in that regard is to develop a complete classical-to-quantum toolchain for major programming languages, with algorithm synthesis expected to emerge through the development of a new compiler layer. This layer would automatically generate quantum algorithms from conventional source code, preserving the exact function of the original program without requiring users to write any quantum-specific code.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additional compiler layer would be designed to allow developers to program quantum computers in familiar classical languages — removing one of the greatest barriers to practical quantum computing.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Deployment Infrastructure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deployment infrastructure seeks to provide the bridge between quantum programs and front-end technologies. It follows design principles common in modern cloud infrastructure, providing a familiar framework for users. Once a quantum program has been compiled with Triple Alpha, it can be packaged and deployed as a web API. Through these deployed endpoints, users can send encoded inputs, interact with running programs, and retrieve outputs as the program is executed.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Horizon’s deployment infrastructure, developers can integrate quantum functionality directly into other applications, whether through Python scripts, web interfaces, or even Excel macros, allowing developers to call and interact with quantum programs from familiar environments. Each deployed API includes authentication to ensure only authorized users can access or execute a program. The infrastructure also supports session management for deployed programs, maintaining isolated execution environments for multiple users or concurrent runs. This guarantees that one user’s interaction with a program does not interfere with another’s — a necessity for working in multi-user or collaborative settings.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Beyond deployment and access control, developers can manage program deployments and monitor usage within Triple Alpha. The API for a deployed quantum program allows users to control and oversee their runs, and it also allows classical applications to perform these same actions programmatically — starting, stopping, or canceling runs and monitoring real-time job status to track whether a task is queued, active, or has failed. Together, these features make Horizon’s deployment infrastructure a powerful and convenient tool for delivering quantum processing to end-user facing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plans to extend its deployment infrastructure to provide developers with more granular control over program and resource management. These plans include refined access and budget controls, usage monitoring at the level of individual users and programs, and improved scheduling mechanisms for allocating access to constrained resources such as specific quantum computers. These enhancements will further strengthen Horizon’s ability to deliver secure, efficient, and scalable quantum workloads for organizations deploying quantum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Infrastructure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Horizon’s execution infrastructure can run programs containing loops and recursive functions, runtime user inputs, mid-circuit measurements, and even calls to classical code or networked processes, capabilities that remove many of the rigid constraints of traditional circuit-based programming approaches. Many of these advanced features are unavailable through other tools on contemporary hardware systems.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Conventional programs rely on constructs like “while” loops and recursive functions, running until a solution is found — or indefinitely, if one isn’t. They aren’t a simple list of sequential instructions, and their runtime can’t always be predetermined. However, most of today’s quantum hardware can only execute fixed-length quantum circuits — programs whose structures must be known in advance, with zero or limited native support for dynamic runtime control, such as loops, recursion, or concurrent classical computation.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Horizon’s execution infrastructure seeks to overcome this limitation with full control flow support, making it possible to execute complex programs on quantum devices that lack native support for general control flow. It extends the capabilities of quantum processors, enabling them to perform beyond their built-in limitations that prohibit runtime decisions.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Control flow in Hydrogen is expressed through </w:t>
      </w:r>
      <w:r>
        <w:rPr>
          <w:rFonts w:ascii="Times New Roman" w:cs="Times New Roman" w:eastAsia="Times New Roman" w:hAnsi="Times New Roman"/>
          <w:sz w:val="18"/>
          <w:szCs w:val="18"/>
          <w:i w:val="1"/>
          <w:iCs w:val="1"/>
          <w:color w:val="auto"/>
        </w:rPr>
        <w:t>blocks</w:t>
      </w:r>
      <w:r>
        <w:rPr>
          <w:rFonts w:ascii="Times New Roman" w:cs="Times New Roman" w:eastAsia="Times New Roman" w:hAnsi="Times New Roman"/>
          <w:sz w:val="18"/>
          <w:szCs w:val="18"/>
          <w:color w:val="auto"/>
        </w:rPr>
        <w:t xml:space="preserve"> — like the nodes of a flow chart — each containing a list of instructions and ending in a halt, advance, or branch instruction. When the program reaches a branch point, it needs new information — a measurement result, a classical computation, or a user input — before deciding what to do next. Horizon’s execution infrastructure provides this missing information through full mid-circuit measurement support, mid-computational classical function support, and full mid-computation I/O support, enabling interactive quantum computation.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mid-circuit measurement, the system can measure qubits while a computation is still running and immediately use those results to influence subsequent operations — a critical feature for quantum error correction and feedback-based protocols. Building on this capability, Horizon’s execution infrastructure provides full mid-computation classical function support, allowing measurement outcomes to be processed classically during runtime. Once measurements are obtained, they can be injected into classical functions and computed on a classical processor. Then, the execution infrastructure obtains the results, and the quantum program continues. The ability to trigger classical functions from quantum measurements within the same execution is a key differentiating capability to Horizon’s execution infrastructure.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Mid-computation I/O extends this interactivity to the network layer, allowing a program to communicate with external systems or users — sending intermediate results, requesting input, and pausing until a response is received — all while the program remains running. This design extends beyond traditional batch-style quantum execution, creating an interactive feedback loop that influences ongoing computation and enables interactive and adaptive quantum applications.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execution management, Horizon’s infrastructure sources the information a program requires at each branch point — whether that data comes from a qubit measurement, a classical computation, or an external input. Once the needed information is obtained, execution continues following the appropriate branch. In the case of a measurement, the execution infrastructure performs the operation on hardware, records the outcome, and resumes the program using that result. When subsequent branches depend on earlier measurements, the system reruns the program with consistency checks to ensure earlier measurement outcomes match. When results diverge, the program restarts; when they agree, execution proceeds. This proprietary system makes it possible to implement complex control flow even on hardware that lacks native support for fast runtime decisions.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execution infrastructure’s ability to perform classical computation during quantum execution enables dynamic memory management, giving quantum programs written in Helium the equivalent of the classical malloc() and free() functions. Unlike conventional circuits — where qubits can be pre-labeled and allocated before execution — programs with control flow require allocation on the fly. Triple Alpha users can signal when a qubit is no longer needed, allowing the system to release and repurpose it. At runtime, Horizon’s infrastructure manages this process automatically, determining which physical qubits should store information and tracking which qubits are free and which are in use. When a qubit is no longer needed, the system can release and repurpose it automatically. This on-the-fly allocation enables efficient use of limited hardware resources. By recycling qubits dynamically, programs can execute larger or more complex workloads without requiring additional physical qubits. While such memory management is standard in classical computing, it remains rare in quantum systems.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execution infrastructure also introduces control system abstraction, allowing developers to work in Hydrogen without needing to code for a specific set of control systems. The same Hydrogen program can target different quantum machines, automatically generating the appropriate set of control system instructions. Horizon’s infrastructure also connects to a range of hardware backends (processors and simulators) and manages the execution on each of these systems.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Horizon has plans to integrate its execution infrastructure more closely with control systems and quantum hardware to facilitate the real-time execution of increasingly large amounts Hydrogen’s feature set. The company expects this deeper integration to play an essential role in enabling usage of quantum error correction, fault tolerance, and other technologies that are likely critical to realizing practical quantum advantage. Horizon’s testbed provides the ideal setting for developing and testing these integrations. The first testbed system is designed to support switching between control systems, enabling collaboration with multiple control system manufacturers and providing Horizon with the flexibility needed to develop the most capable tools for quantum software development.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believes its technical progress with its development, deployment, and execution infrastructures marks the first steps toward a true quantum operating system (“</w:t>
      </w:r>
      <w:r>
        <w:rPr>
          <w:rFonts w:ascii="Times New Roman" w:cs="Times New Roman" w:eastAsia="Times New Roman" w:hAnsi="Times New Roman"/>
          <w:sz w:val="18"/>
          <w:szCs w:val="18"/>
          <w:b w:val="1"/>
          <w:bCs w:val="1"/>
          <w:color w:val="auto"/>
        </w:rPr>
        <w:t>OS</w:t>
      </w:r>
      <w:r>
        <w:rPr>
          <w:rFonts w:ascii="Times New Roman" w:cs="Times New Roman" w:eastAsia="Times New Roman" w:hAnsi="Times New Roman"/>
          <w:sz w:val="18"/>
          <w:szCs w:val="18"/>
          <w:color w:val="auto"/>
        </w:rPr>
        <w:t>”). A quantum OS is a specialized runtime environment that manages the unique resources of quantum hardware, such as qubits, much like a classical OS manages CPU cores and memory while also providing a bridge to software. Horizon’s execution infrastructure — with its compelling capabilities in I/O, measurement, dynamic memory management, and optimization — is designed to lay the foundation for the first true quantum OS.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Taken together, Horizon believes these advances will establish Horizon’s software infrastructure as the most capable and versatile platform for quantum application development, deployment, and execution, empowering developers with the tools needed to harness the power of quantum computing for solving challenging, real-world problems.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Testbed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Horizon is the first quantum software company to own and operate its own quantum computer. The company announced plans to establish an on-site testbed with capacity for multiple quantum computers in 2024, and its first quantum system became fully operational in the fourth quarter of 2025.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views tight integration between hardware and software as the shortest path to truly useful quantum computing. We believe having full control over both hardware and software infrastructure will provide a critical advantage in terms of software development, allowing Horizon to integrate its software directly with control systems and avoid latency issues that prevent fast feed-forward operations in remote settings. This would provide a path for real-time implementation of the full Hydrogen feature set, avoiding the overhead of the current hybrid runtime. The testbed will be connected to Triple Alpha, enabling users to deploy their quantum programs directly to its backends.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expects to integrate the testbed with conventional computing infrastructure, an ideal setting for testing and executing hybrid workloads that include both classical and quantum elements. This hands-on approach ensures Horizon’s software remains hardware-agnostic while being deeply optimized for the physical realities of quantum processors, demonstrating the company’s commitment to advancing quantum technology not just in theory but in practice.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testbed has a modular, multi-vendor design. Rather than relying on a single supplier, Horizon has assembled a testbed made up of best-in-class components. The first testbed system combines a Rigetti Novera QPU, a Quantum Machine’s OPX1000 control system, and a Maybell Big Fridge large-volume dilution refrigerator.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Horizon has invested a total of S$2.62 million (US$2.02 million) to acquire the components and build its on-site testbed and anticipates the need for an additional S$0.79 million (US$0.61 million). The additional anticipated investment will bring our total investment into our testbed to S$3.41 million (US$2.63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Roadmap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Languages, compilation, and algorithm synthesis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Triple Alpha currently contains three proprietary programming languages: Helium and Hydrogen, which are currently available to early access users of Triple Alpha, and Beryllium, which the company previewed in December 2025. Horizon expects to make Beryllium available to early access users in the first half of 2026. Throughout 2026 and 2027, Horizon intends to introduce Beryllium libraries to support greater levels of abstraction in quantum algorithm construction.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and 2025, Horizon introduced support for pulse control and measurement-based computation to better target specific hardware architectures. Over the course of 2026 and 2027, Horizon anticipates expanding the compiler capabilities to ensure that it can provide compilation to physical-level operations that include fusion operations (to better support low-level integration with photonic systems) and qubit transport (to better support low-level integration with neutral atom, trapped-ion, and other physical systems with moveable qubits) and to support fault-tolerant compilation.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the end of 2028, Horizon intends to demonstrate an integrated compilation chain with automated algorithm construction all the way down to execution on control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Runtime environment, real-time execution, and foundation of a quantum operating system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key component of Horizon’s execution infrastructure, the runtime environment supports several quantum operating system-like capabilities, including dynamic memory management and discoverability of system parameters. The company intends to add greater support for system services, including inter-process communication and job management. At present, execution on many systems relies on a post-selection-based process to overcome hardware limitations. Horizon expects direct execution of Hydrogen to be important to fully realizing such capabilities. Horizon aims to have runtime support for the necessary Hydrogen capabilities (without relying on post-selection) on its first testbed system by the second half of 2026, with support demonstrated on third-party systems in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testbeds, applications development, and push towards quantum advantage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Horizon’s first hardware testbed system became operational in December 2025. The company expects this quantum system to function as an environment for testing integration between Triple Alpha and control systems, and it anticipates granting Triple Alpha early access users access to this system by the end of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also expects to install a second testbed system by 2027. Unlike the first system, where the focus is purely on integration, Horizon anticipates that the second system will have sufficient qubit count and gate fidelity to place it beyond practical classical simulation, enabling the company to push towards practical quantum advantage.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support this push, the company also intends to establish an applications team in 2026. Horizon expects that the team will act as an internal user of Triple Alpha and focus on developing algorithms to tackle a small number of high-value problems. The company already has a history of algorithm development, with team members having developed novel quantum algorithms for chemistry simulation, SAT-solving, fast linear algebra, and training and inference in machine learning.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the establishment of a quantum advantage-capable testbed system, Horizon anticipates its in-house applications team and external Triple Alpha users will be able to test algorithms and initiate application development with the intention of achieving quantum advantage.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Horizon expects that this system will be fully operational and available to Triple Alpha users by the end of 2028.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is building the software infrastructure to power the development and deployment of applications using quantum computing. At the core of this effort are tools built to help software developers make the most out of quantum computers. The company is creating the kind of software infrastructure familiar to classical developers — from high-level programming languages and optimizing compilers to the system software and runtimes needed to execute complex programs.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Horizon believes that this foundation positions it to serve an expanding market. We expect the total addressable market for quantum computing to grow rapidly in the coming decade, driven by both public and private investment and the emergence of quantum advantage. We believe that the quantum software segment will drive commercial adoption of quantum hardware, Horizon believes it is strategically placed to capitalize on this opportunity. Software infrastructure has proven to be important to creating value across every major computing wave, and, as history shows, the companies that shaped this infrastructure have tended to capture outsized value. Windows defined the PC era. iOS and Android did the same for mobile. AWS transformed web applications. VMware powered the modern data center, and Nvidia CUDA unlocked GPU computing. Horizon’s Triple Alpha platform aims to play that same foundational role for quantum computing.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Triple Alpha is expected to connect developers, end-users, and hardware providers, Horizon is positioned to sit at the heart of the quantum computing ecosystem, enabling the company to establish its product as the software infrastructure of choice for the industry. To advance this vision, Horizon’s multi-faceted business strategy focuses on product development, market penetration, and ecosystems collaboration. The company is pursuing three core strategies, through which it intends to capture market share. These are:</w:t>
      </w:r>
    </w:p>
    <w:p>
      <w:pPr>
        <w:spacing w:after="0" w:line="178" w:lineRule="exact"/>
        <w:rPr>
          <w:sz w:val="20"/>
          <w:szCs w:val="20"/>
          <w:color w:val="auto"/>
        </w:rPr>
      </w:pPr>
    </w:p>
    <w:p>
      <w:pPr>
        <w:jc w:val="both"/>
        <w:ind w:left="980" w:hanging="324"/>
        <w:spacing w:after="0" w:line="267"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Solving the Applications Bottleneck</w:t>
      </w:r>
      <w:r>
        <w:rPr>
          <w:rFonts w:ascii="Times New Roman" w:cs="Times New Roman" w:eastAsia="Times New Roman" w:hAnsi="Times New Roman"/>
          <w:sz w:val="18"/>
          <w:szCs w:val="18"/>
          <w:color w:val="auto"/>
        </w:rPr>
        <w:t>: Triple Alpha is designed to tackle the most significant barrier to adoption — the difficulty of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portable quantum applications. By making quantum programming accessible to millions of conventional software developers, Horizon expects to dramatically expand the potential developer base and accelerate the discovery of practical use cases for quantum computing.</w:t>
      </w:r>
    </w:p>
    <w:p>
      <w:pPr>
        <w:spacing w:after="0" w:line="173" w:lineRule="exact"/>
        <w:rPr>
          <w:rFonts w:ascii="Times New Roman" w:cs="Times New Roman" w:eastAsia="Times New Roman" w:hAnsi="Times New Roman"/>
          <w:sz w:val="18"/>
          <w:szCs w:val="18"/>
          <w:color w:val="auto"/>
        </w:rPr>
      </w:pPr>
    </w:p>
    <w:p>
      <w:pPr>
        <w:jc w:val="both"/>
        <w:ind w:left="980" w:right="20" w:hanging="324"/>
        <w:spacing w:after="0" w:line="267"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Building a Strategic Ecosystem</w:t>
      </w:r>
      <w:r>
        <w:rPr>
          <w:rFonts w:ascii="Times New Roman" w:cs="Times New Roman" w:eastAsia="Times New Roman" w:hAnsi="Times New Roman"/>
          <w:sz w:val="18"/>
          <w:szCs w:val="18"/>
          <w:color w:val="auto"/>
        </w:rPr>
        <w:t>: Rather than competing with hardware providers, Horizon seeks to engage with them. The company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collaborations with leading hardware companies, control systems manufacturers, and software to act as a powerful distribution channel because these providers could embed Horizon software within their ecosystems, providing direct access to their customers.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Demonstrating Value</w:t>
      </w:r>
      <w:r>
        <w:rPr>
          <w:rFonts w:ascii="Times New Roman" w:cs="Times New Roman" w:eastAsia="Times New Roman" w:hAnsi="Times New Roman"/>
          <w:sz w:val="18"/>
          <w:szCs w:val="18"/>
          <w:color w:val="auto"/>
        </w:rPr>
        <w:t>: Horizon plans to establish an applications team, which it expects to be a key driver of growth over time.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team will focus on developing quantum algorithms to demonstrate practical quantum advantage for a small number of high-value problems. The team will work directly with quantum hardware vendors and enterprise customers to identify, develop, and showcase real-world applications with the goal of delivering a clear quantum advantage, driving the adoption of applications built on top of the company’s software infrastructure.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Together, these initiatives reflect a fundamentally different philosophy toward quantum software development than other quantum programing frameworks. Unlike many quantum software companies, Horizon focuses on pushing the boundaries of what today’s quantum systems can achieve, rather than simply providing tools to interact with existing capabilities built by hardware manufacturers. The company aims to develop software that expands what quantum hardware can do, advancing the technology itself instead of merely enabling access to 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realize this vision, accelerate technology development, expand market reach, and fuel company growth, Horizon expects to make targeted investments into four key areas:</w:t>
      </w:r>
    </w:p>
    <w:p>
      <w:pPr>
        <w:spacing w:after="0" w:line="160" w:lineRule="exact"/>
        <w:rPr>
          <w:sz w:val="20"/>
          <w:szCs w:val="20"/>
          <w:color w:val="auto"/>
        </w:rPr>
      </w:pPr>
    </w:p>
    <w:p>
      <w:pPr>
        <w:jc w:val="both"/>
        <w:ind w:left="980" w:hanging="324"/>
        <w:spacing w:after="0" w:line="26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Technology</w:t>
      </w:r>
      <w:r>
        <w:rPr>
          <w:rFonts w:ascii="Times New Roman" w:cs="Times New Roman" w:eastAsia="Times New Roman" w:hAnsi="Times New Roman"/>
          <w:sz w:val="18"/>
          <w:szCs w:val="18"/>
          <w:color w:val="auto"/>
        </w:rPr>
        <w:t>: Horizon is continuously investing in its core software infrastructure, adding new capabilities such as dynamic quantum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memory management, architecture-independent optimization engines, and AI agent framework. These innovations seek to ensure Horizon’s platform remains cutting-edge and provides unique value to users.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w:t>
      </w:r>
      <w:r>
        <w:rPr>
          <w:rFonts w:ascii="Times New Roman" w:cs="Times New Roman" w:eastAsia="Times New Roman" w:hAnsi="Times New Roman"/>
          <w:sz w:val="18"/>
          <w:szCs w:val="18"/>
          <w:color w:val="auto"/>
        </w:rPr>
        <w:t>: Horizon is strengthening its foundation by continuing to invest in talent that adds both scientific depth and business experience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It is expanding its science and engineering teams while also bringing in seasoned tech industry leaders with public market and operational expertise.</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7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Infrastructure</w:t>
      </w:r>
      <w:r>
        <w:rPr>
          <w:rFonts w:ascii="Times New Roman" w:cs="Times New Roman" w:eastAsia="Times New Roman" w:hAnsi="Times New Roman"/>
          <w:sz w:val="18"/>
          <w:szCs w:val="18"/>
          <w:color w:val="auto"/>
        </w:rPr>
        <w:t>: The quantum hardware testbed is a critical investment because it allows Horizon to tightly integrate its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with a variety of hardware systems, ensuring it is robust, performant, and seamlessly compatible with the latest technological advancements.</w:t>
      </w:r>
    </w:p>
    <w:p>
      <w:pPr>
        <w:spacing w:after="0" w:line="387"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&amp; Distribution</w:t>
      </w:r>
      <w:r>
        <w:rPr>
          <w:rFonts w:ascii="Times New Roman" w:cs="Times New Roman" w:eastAsia="Times New Roman" w:hAnsi="Times New Roman"/>
          <w:sz w:val="18"/>
          <w:szCs w:val="18"/>
          <w:color w:val="auto"/>
        </w:rPr>
        <w:t>: Horizon will focus marketing and distribution efforts on high-performing industries, such as finance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sciences, where the need for quantum advantage is most pressing. Through targeted marketing and collaborative efforts with potential customers, Horizon will build a reputation for delivering solutions that are both technologically superior and commercially viable.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investing in these areas, Horizon expects to continue to take steps towards making quantum computing truly useful by removing barriers to practical quantum advantage. The company aims to advance its existing technologies to develop tools that automate the process of quantum algorithm construction, enabling a much broader community of developers to benefit from quantum acceleration — without requiring deep quantum expertise. By empowering experts in the domains where quantum computing will have the greatest impact to use these capabilities directly, Horizon aims to help unlock the technology’s full commercial potential.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taking a hardware-agnostic approach to quantum software development, with programming languages that remain portable while giving developers full flexibility. Currently, the company is focused on collaborating with hardware manufacturers, with the intent of making Triple Alpha the preferred development environment for their systems. This work includes integrating hardware backends into Horizon’s systems and developing solutions to the software-infrastructure challenges unique to each hardware vendor.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Taken together, Horizon believes that these elements contribute to developing a foundational technology for quantum developers and end users that would be difficult to displace. As developers build codebases using the company’s languages and deploy their applications through its infrastructure, their programs become deeply integrated with the platform, making it costly and impractical to switch to another. As primarily a software business, Horizon expects to benefit from higher gross margins and lower capital expenditures requirements than hardware-based peers in the quantum industry. In addition, its hardware-agnostic approach can position it for success regardless of which hardware manufacturers or qubit modalities emerge as leaders in the long run.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Together, Horizon expects these factors to give it a sustainable competitive position as quantum computing transitions from experimentation to commercialization.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has two primary paths to revenue: usage-based pricing on deployed applications and software licensing for on-premises deployment. When customers run applications through the company’s infrastructure (e.g. an API call or quantum job), the company plans to charge them based on usage. This model scales directly with customer activity, mirroring the familiar economics of traditional cloud and SaaS recurring business models.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organizations that require on-premises control over their systems — such as research institutions, government agencies, or enterprises operating their own quantum hardware — Horizon plans to offer annual software licensing agreements that allow customers to deploy the same core technologies on their own servers or hardware.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Together, these complementary revenue streams are expected to form a hybrid business model that combines recurring cloud usage fees with longer-term enterprise subscription licensing. The result is anticipated to be a structure that provides scalability, visibility and predictability while enabling Horizon to serve cloud-native users as well as customers with specialized infrastructure needs.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By hosting the deployment and execution of customer applications, Horizon can price its services in proportion to the value they create for developers, as reflected in application usage. When developers build and deploy their quantum programs using the company’s infrastructure, those workloads run on its systems rather than simply being compiled there. This setup positions Horizon to measure usage — such as the number of API calls or quantum jobs executed — and charge accordingly, resulting in a value-based model where revenue scales as customers make more use of the company’s technology to power their applications and as those applications gain adoption.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these core streams, Horizon’s hardware testbed creates a third potential revenue source, enabling the company to offer access to its own quantum systems for running user jobs under a Quantum Computing as a Service model.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academia is expected to be a feeder for Horizon’s broader customer base, the company may offer discounted or free access to its software infrastructure for academic research groups. Universities are where future quantum developers and hardware scientists are trained, making academia a strategic channel for long-term engagement. By connecting early with this community, Horizon expects to help ensure that new professionals enter industry already familiar with its tools, reinforcing adoption across all three customer segments.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expects to serve three main customer groups: hardware vendors, software developers, and enterprise users. This multi-channel approach is intended to diversify revenue and reinforce the platform’s stickiness, as each customer segment is expected to contribute to and depend on the broader network of users built around the company’s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Vendors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Horizon believes it will be an ideal partner for the next stage of commercialization of quantum computers and beyond. To drive adoption, quantum hardware manufacturers increasingly need development tools that enable practical applications. Through its collaboration model, Horizon seeks to provide vendors with a progressive pathway for integrating Triple Alpha with their hardware. This tiered pathway is expected to give vendors an easy on-ramp for working with Horizon, and it is expected to enable Horizon to offer a manufacturer’s hardware to Triple Alpha users at early stages of the engagement. The pathway begins with an initial integration of a vendor’s system into Triple Alpha. At later stages, the vendor has the option to collaborate more deeply, working with Horizon to achieve technical goals through Triple Alpha, and potentially pursuing joint go-to-market efforts. This approach serves Horizon’s ambition to provide the most capable development tools for each hardware platform, with an aim of Triple Alpha becoming the software infrastructure of choice for application development on that platform. In doing so, it potentially positions Triple Alpha to become the default software infrastructure for a manufacturer’s customers, while allowing the manufacturer to avoid high-risk or untested options.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Horizon has key relationships with several quantum hardware providers. The company has a joint marketing agreement with Rigetti, covering Rigetti’s Novera QPU, its newest quantum processor, and Horizon’s participation in the Novera QPU Partner Program. Each of Rigetti and Horizon granted the other party a worldwide, non-exclusive, royalty-free fully paid-up license to use certain of its trademarks in connection with marketing the Novera QPU and Novera QPU Partner Program. Horizon has also entered annual partnership agreements with Alice &amp; Bob, Oxford Quantum Circuits Ltd., and QuEra Computing Inc. through which each party is testing Triple Alpha on its respective hardware to enhance interoperability and integration, in each case without cost to either party. While none of these relationships has generated revenue yet, they aim to support deeper technical integration and may provide a foundation for future commercialization opportunities. However, no assurance can be given that these relationships will ever generate revenue.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Our business and growth are dependent on the success of our strategic relationships with third parties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xml:space="preserve"> We are in our very early stages and have a limited operating history, which makes it difficult to forecast the future results of our operations. It is also possible quantum computing might never become commercially viable or embraced. Our technology roadmap, including the anticipated milestones and timing thereof, may change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Software Vendors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Horizon expects quantum software vendors to become important customers as quantum computing gains adoption. While the number of pure quantum software companies is currently limited, the software sector will be critical to realizing the potential value of quantum computing hardware. For these companies, achieving quantum advantage for industry relevant workloads is an important component of achieving commercial success. Horizon is building the development tools and software infrastructure to enable these developers to get the most out of quantum computing hardware and shorten the path to practical quantum advantage.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Enterprise Users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has received early access requests for Triple Alpha from more than 40 major corporations. The company expects to gain traction in domains where conventional computing is already hitting computational limits and where quantum computing appears to offer a solution. Examples include:</w:t>
      </w:r>
    </w:p>
    <w:p>
      <w:pPr>
        <w:spacing w:after="0" w:line="174" w:lineRule="exact"/>
        <w:rPr>
          <w:sz w:val="20"/>
          <w:szCs w:val="20"/>
          <w:color w:val="auto"/>
        </w:rPr>
      </w:pPr>
    </w:p>
    <w:p>
      <w:pPr>
        <w:jc w:val="both"/>
        <w:ind w:left="980" w:hanging="324"/>
        <w:spacing w:after="0" w:line="257"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Molecular and materials simulation </w:t>
      </w:r>
      <w:r>
        <w:rPr>
          <w:rFonts w:ascii="Times New Roman" w:cs="Times New Roman" w:eastAsia="Times New Roman" w:hAnsi="Times New Roman"/>
          <w:sz w:val="18"/>
          <w:szCs w:val="18"/>
          <w:color w:val="auto"/>
        </w:rPr>
        <w:t>— In computational chemistry, quantum computing has the potential to accelerate advances in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discovery, catalyst design, polymer science, and battery materials. Quantum algorithms are known to allow for efficient simulation of chemical dynamics, and the inherently noisy nature of the environments in which most reactions happen may allow for quantum advantage to be achieved for simulation even before fault-tolerant quantum computation becomes available. Achieving reliable and efficient simulation of all chemical reactions is expected to allow researchers to shorten design cycles and significantly reduce reliance on costly early-stage physical experiments.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modelling and risk management </w:t>
      </w:r>
      <w:r>
        <w:rPr>
          <w:rFonts w:ascii="Times New Roman" w:cs="Times New Roman" w:eastAsia="Times New Roman" w:hAnsi="Times New Roman"/>
          <w:sz w:val="18"/>
          <w:szCs w:val="18"/>
          <w:color w:val="auto"/>
        </w:rPr>
        <w:t>— In these domains, where classical computers strain under extreme complexity, quantum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computing offers the potential to generate more accurate models and achieve results in a fraction of the time. Quantum computing has the potential to offer more efficient methods of performing the Monte-Carlo simulations used to price many financial instruments. When paired with more efficient search and optimization quantum algorithms, this could provide a powerful toolbox for the financial industry, with applications ranging from better risk management and portfolio optimization to better coverage of black swan events and more efficient markets through better detection of arbitrage opportunities.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left="980" w:hanging="324"/>
        <w:spacing w:after="0" w:line="258" w:lineRule="auto"/>
        <w:tabs>
          <w:tab w:leader="none" w:pos="98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machine learning, and data science </w:t>
      </w:r>
      <w:r>
        <w:rPr>
          <w:rFonts w:ascii="Times New Roman" w:cs="Times New Roman" w:eastAsia="Times New Roman" w:hAnsi="Times New Roman"/>
          <w:sz w:val="18"/>
          <w:szCs w:val="18"/>
          <w:color w:val="auto"/>
        </w:rPr>
        <w:t>— Quantum computing has the potential to transform core machine learning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through the acceleration of training and inference for classical models and through the emergence of natively quantum machine learning models capable of recognizing features not easily accessible to classical models. Since much of the current progress in generative AI is enabled only by vast amounts of computational effort, quantum computing has the potential to open up an entirely new phase of the development of the technology.</w:t>
      </w:r>
    </w:p>
    <w:p>
      <w:pPr>
        <w:spacing w:after="0" w:line="183" w:lineRule="exact"/>
        <w:rPr>
          <w:rFonts w:ascii="Times New Roman" w:cs="Times New Roman" w:eastAsia="Times New Roman" w:hAnsi="Times New Roman"/>
          <w:sz w:val="18"/>
          <w:szCs w:val="18"/>
          <w:i w:val="1"/>
          <w:iCs w:val="1"/>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Laboratories, Research Institutions, Government Agencies, and Universities </w:t>
      </w:r>
      <w:r>
        <w:rPr>
          <w:rFonts w:ascii="Times New Roman" w:cs="Times New Roman" w:eastAsia="Times New Roman" w:hAnsi="Times New Roman"/>
          <w:sz w:val="18"/>
          <w:szCs w:val="18"/>
          <w:color w:val="auto"/>
        </w:rPr>
        <w:t>— Horizon has received early access requests for Triple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Alpha from more than 18 national labs, government agencies, and research institutions and more than 90 universities, including eight of the top 20 according to the 2025 Times Higher Education rankings. Through their efforts, these organizations can drive breakthroughs in quantum computing, powering translational research that can lead to practical applications and commercialization over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alternate approaches to quantum programming exist, including control-systems programming (e.g. QUA and LabOne Q), pulse-level frameworks (e.g. OpenPulse and Quil-T), gate-level quantum programming languages (e.g. Qiskit, PyQuil, and Cirq), model-based synthesis (Classiq’s approach), and domain libraries (e.g. OpenFermion, TensorFlow Quantum, and PennyLane).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Control-systems programming gives developers access to real-time sequencing, classical feedback, and pulse shapes and timing directly on hardware controllers. This approach maximizes expressivity for calibration, characterization, and bespoke experiments, and in principle, it allows for the construction of any program that the device can physically perform. The trade-off is portability: code written at this level is closely tied to the specific hardware system it was written for.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Pulse-level frameworks let developers specify waveforms, schedules, and calibrations within higher-level SDKs. They offer fine-grained control while integrating with broader ecosystem tooling, but portability depends on each device’s supported primitives and available calibration data. As a result, programs often need backend-specific adjustments.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Gate-level languages represent programs as abstract circuits that are later converted, or transpiled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into the native gates of a specific device. They are widely used, supported by simulators and multiple hardware providers, and offer comparatively good portability. However, they generally sacrifice direct access to analog timing and hardware-specific features, which can limit low-level optimization and experimental control.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Model-based synthesis starts from a high-level description of how to solve a problem and then automatically builds circuits tailored to run efficiently on specific hardware. This approach can boost developer productivity and broaden compatibility, but it reduces transparency and limits direct control over scheduling and pulse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Domain libraries provide packaged, ready-made algorithms and integrations, with examples including chemistry tools such as OpenFermion and hybrid quantum-machine learning workflows such as TensorFlow Quantum and PennyLane. They accelerate application development, but they rely on underlying frameworks and backends, which restricts the amount of direct control developers have at the hardware level.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9" w:name="page100"/>
    <w:bookmarkEnd w:id="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practice, existing approaches make trade-offs between flexibility and portability. Control-systems layers offer a lot of flexibility but are tightly bound to specific hardware stacks. Model-based synthesis and domain libraries sacrifice low-level control to achieve broader compatibility. Horizon’s programming languages are designed to overcome this trade-off, providing precise pulse-level control and advanced control flow while maintaining broad portability across supported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Triple Alpha’s advanced capabilities — such as dynamic memory management and circuit synthesis from classical code — further differentiate it from competing quantum programming approaches. With these capabilities, it provides a higher level of abstraction than most approaches while still supporting low-level control when needed. Horizon also holds patents on techniques that automatically construct accelerated quantum algorithms from classical code — moving beyond simply translating the instructions to a quantum-compatible form to actually generating quantum-accelerated implementations of the code’s functionality (see —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Development, know-how, and engineering skills are an essential component of Horizon’s business, resulting in the creation of its broad intellectual property portfolio. The company relies on a combination of patents, trademarks, copyrights, and trade secrets, as well as contractual provisions and restrictions, to establish and protect intellectual property and other proprietary rights in the United States, Europe, and other jurisdictions.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 makes use of trade secrets, patents and copyrights to protect its intellectual property. Horizon pursues patent protection when it is consistent with the company’s overall strategy for safeguarding intellectual property. Horizon’s use of trade secrets, patents and copyrights establishes a strong defensive position around its core compiler technology and its ability to bridge the gap between high-level programming and low-level hardware execution.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primarily makes use of patents to protect functionality where the mechanism is easily discoverable by users and makes use of trade secrets to protect functionality that cannot easily be reverse engineered through use of its software. Horizon also relies on copyright to protect its proprietary software code, which is owned by Horizon and forms the basis of its quantum software infrastructure.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Horizon has accumulated intellectual property that covers all the main aspects of its technology, including systems and software, and the company intends to protect its innovative inventions. Its patent portfolio includes key technologies, such as systems and methods for constructing quantum algorithms from classical programs and unique methodologies for performing quantum computation with adaptive control flow.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Horizon has 4 patents issued and 19 patents pending, including 1 issued US patent and 2 US pending patents. The following is a summary of its patent portfolio: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Patent</w:t>
            </w:r>
          </w:p>
        </w:tc>
        <w:tc>
          <w:tcPr>
            <w:tcW w:w="1220" w:type="dxa"/>
            <w:vAlign w:val="bottom"/>
          </w:tcPr>
          <w:p>
            <w:pPr>
              <w:spacing w:after="0"/>
              <w:rPr>
                <w:sz w:val="18"/>
                <w:szCs w:val="18"/>
                <w:color w:val="auto"/>
              </w:rPr>
            </w:pPr>
          </w:p>
        </w:tc>
      </w:t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198"/>
        </w:trPr>
        <w:tc>
          <w:tcPr>
            <w:tcW w:w="51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17/337,873</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12-Dec-2023</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11,842,177</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03-May-2041</w:t>
            </w: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2021-536109</w:t>
            </w:r>
          </w:p>
        </w:tc>
        <w:tc>
          <w:tcPr>
            <w:tcW w:w="100" w:type="dxa"/>
            <w:vAlign w:val="bottom"/>
          </w:tcPr>
          <w:p>
            <w:pPr>
              <w:spacing w:after="0"/>
              <w:rPr>
                <w:sz w:val="17"/>
                <w:szCs w:val="17"/>
                <w:color w:val="auto"/>
              </w:rPr>
            </w:pPr>
          </w:p>
        </w:tc>
        <w:tc>
          <w:tcPr>
            <w:tcW w:w="13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11-Jul-2025</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7710984</w:t>
            </w:r>
          </w:p>
        </w:tc>
        <w:tc>
          <w:tcPr>
            <w:tcW w:w="12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09-Dec-2040</w:t>
            </w: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2021203658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26-Oct-2023</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2021203658</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09-Dec-2040</w:t>
            </w: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21178584.5</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03-Dec-2025</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4012552</w:t>
            </w:r>
          </w:p>
        </w:tc>
        <w:tc>
          <w:tcPr>
            <w:tcW w:w="12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09-Jun-2041</w:t>
            </w: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UP</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21178584.5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ES</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21178584.5</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GB</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21178584.5</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18/525,598</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CN</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202080053179.0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62022059978.6</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2023248094</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CA</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3,121,105</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42022065667.2</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SG</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10202105905R</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UNIFIED COMPUTING ON</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EP</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25219364.4</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AND QUANTUM COMPUTERS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US</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19/134,915</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AU</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2023390309</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CA</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3,274,608</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CN</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202380093144.3</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EP</w:t>
            </w: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23901210.7</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JP</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2025-530278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8"/>
        </w:trPr>
        <w:tc>
          <w:tcPr>
            <w:tcW w:w="5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PERFORMING QUANTUM</w:t>
            </w:r>
          </w:p>
        </w:tc>
        <w:tc>
          <w:tcPr>
            <w:tcW w:w="10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5"/>
              </w:rPr>
              <w:t>SG</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11202503329S</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COMPUTATIONS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8"/>
        </w:trPr>
        <w:tc>
          <w:tcPr>
            <w:tcW w:w="5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SYSTEMS AND METHODS FOR REPRESENTING AND</w:t>
            </w:r>
          </w:p>
        </w:tc>
        <w:tc>
          <w:tcPr>
            <w:tcW w:w="10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HK</w:t>
            </w:r>
          </w:p>
        </w:tc>
        <w:tc>
          <w:tcPr>
            <w:tcW w:w="1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62025115389.1</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Pending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IMPLEMENTING QUANTUM PROGRAMS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Horizon also protects its intellectual property and other proprietary rights by entering into confidentiality and invention assignment agreements (or similar agreements) with employees, consultants, collaborators, contractors, and other third parties. Horizon’s trademark registrations include “Horizon Quantum,” “Horizon Quantum Computing” and “Triple Alpha.”</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executive offices are located at 29 Media Cir. Alice@Mediapolis, #05-19 to 26, Singapore, 138565 and are leased from BP-Alice LLP with a total size of 8,383 square feet. The Company’s 1,313 square foot Ireland office is located at 24 Fitzwilliam Place, Dublin 2, D02 T296, Dublin, where it has entered an office license agreement with Glandore Business Centres for four office suites.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Horizon’s interdisciplinary team blends deep scientific expertise with proven leadership in the technology industry. The company’s core scientific leaders — including its CEO and Chief Science Officer — bring decades of research experience in quantum computing and related fields at leading universities and research organizations. This foundation is complemented by seasoned professionals, ensuring that Horizon’s leadership is well-versed in not only groundbreaking research and practical application but also in business operations.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personal data collected by us, we are required to comply with Singapore’s PDPA which governs the collection, use and disclosure of individuals’ personal data (i.e. data, whether true or not, about an individual who can be identified from that data; or from that data and other information to which the relevant organization has or is likely to have access). The PDPA seeks to ensure that organizations comply with a baseline standard of protection for personal data of individuals. The PDPA is administered and enforced by the PDPC.</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PDPA requires,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organizations to obtain the consent of individuals before collecting, using or disclosing their personal data for purposes that a reasonable person would consider appropriate in the circumstances; have mechanisms in place for individuals to withdraw their consent and reasonable security arrangements in place to prevent unauthorized access, collection, use, disclosure, copying, modification or disposal of personal data.</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improper use or disclosure of personal data and breaches of security leading to disclosure of personal data may lead to criminal sanctions under the PDPA, reputational damage, and a direct loss of business. It is also important to note that for contraventions of the PDPA, the PDPC is empowered to impose financial penalties of up to S$1 million, or 10% of the organization’s annual turnover in Singapore (for organizations with annual turnover exceeding S$10 million), whichever is higher. The PDPC may publish enforcement decisions, which can have reputational consequences for organizations found to be in breach.</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PDPA is supplemented by subsidiary legislation, such as the Personal Data Protection Regulations 2021, the Personal Data Protection (Do Not Call Registry) Regulations 2013, and the Personal Data Protection (Notification of Data Breaches) Regulations 2021. The PDPC also issues advisory guidelines to assist organizations in interpreting and complying with the PDPA. On 23 September 2014, the PDPC issued one of the key guidelines to the PDPA, the Advisory Guidelines on Key Concepts in the Personal Data Act, which serves to illustrate and further explain the PDPA. This set of guidelines was revised on 16 May 2022 to clarify, amongst others, the definition of personal data, the consent obligation, data accuracy and data breach reporting.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the GDPR and applicable national supplementing laws. The GDPR imposes comprehensive data privacy compliance obligations in relation to our collection, processing, sharing, disclosure, transfer and other use of data relating to an identifiable living individual, “personal data,” including a principal of accountability and the obligation to demonstrate compliance through policies, procedures, training and audit. The GDPR also grants certain privacy rights to individuals and imposes fines for specified breaches, up to the greater of EUR 20 million or 4% of our global annual turnover, and the potential of other penalties for breaches such as regulatory investigations, reputational damage, orders to cease or change our data processing activities, enforcement notices and/or civil claims for damages.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endeavor to comply with all applicable laws and regulations relating to privacy, security and data protection, including the GDPR, it is possible that such requirements may be interpreted and applied in a manner that is inconsistent from one jurisdiction to another, in particular as different EU member state regulators may differ as to their interpretation of the GDPR and the approach they may take to breaches, enforcement, complaints or the exercise of rights to access personal data by individuals. Any perceived or actual failure by us to protect confidential data, personal data, any material non-compliance with privacy, security or data protection laws or regulations or any general IT system failure may harm our reputation and credibility, adversely affect our revenues, reduce our ability to attract or retain customers, result in litigation or other actions being brought against us and the imposition of fines and, as a result, could have an adverse effect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FINANCIAL CONDITION AND RESULTS OF OPERATIONS OF HORIZON</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generally refer to Horizon, unless context dictates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otherwise .</w:t>
      </w:r>
    </w:p>
    <w:p>
      <w:pPr>
        <w:spacing w:after="0" w:line="20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Horizon’s financial condition and results of operations together with Horizon’s consolidated financial statements and related notes included elsewhere in this prospectus. This discussion contains forward-looking statements based upon current expectations that involve risks and uncertainties. See “Cautionary Note Regarding Forward-Looking Statements.”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 Except as otherwise noted, all references to 2025 refer to the year ended December 31, 2025, and all references to 2024 refer to the year ended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building software infrastructure to make quantum computers accessible to commercial enterprises and hardware providers. By bridging the gap between today’s hardware and tomorrow’s applications, we seek to equip developers, researchers, and enterprises with the quantum software infrastructure needed to solve real-world problems.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do this, we are following an ambitious plan to create development tools that can automatically accelerate code written for conventional computers on quantum computers. With this differentiated approach, we are developing methods to generate quantum-accelerated solutions — exploiting quantum effects such as superposition and entanglement — from legacy code and conventional software.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Today, our Triple Alpha software is an integrated development environment that gives users access to our development, deployment, and execution infrastructure. It empowers developers to create sophisticated, portable, hardware-agnostic quantum programs. Users can code at multiple abstraction levels, compile and optimize programs across many real quantum computers and simulators, and deploy applications as APIs. We have key collaborations with leading hardware providers including Rigetti Computing, Inc., Oxford Quantum Circuits Ltd., Alice &amp; Bob, and QuEra Computing Inc.</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Triple Alpha is currently in early access with quantum hardware vendors. We have received inbound interest in early access requests from more than 40 major corporations, more than 90 universities, 13 quantum software companies, and 18 national labs, government agencies and research organizations.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still in the early stages of scaling its business. Since our inception, we have incurred operating losses. Our ability to generate revenue sufficient to achieve profitability will depend heavily on the further development and commercialization of quantum computers and their software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Factors Affecting Our Performance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growth and future success of our business depend on many factors. While these factors present significant opportunities for our business, they also pose risks and challenges, including those discussed below and in the section of this 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we must successfully address to achieve growth, improve our results of operations, and generate profits.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Adoption of Quantum Computing. </w:t>
      </w:r>
      <w:r>
        <w:rPr>
          <w:rFonts w:ascii="Times New Roman" w:cs="Times New Roman" w:eastAsia="Times New Roman" w:hAnsi="Times New Roman"/>
          <w:sz w:val="18"/>
          <w:szCs w:val="18"/>
          <w:color w:val="auto"/>
        </w:rPr>
        <w:t>Quantum computing is an emerging technology, and our business model depends heavily on the pace at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quantum computing achieves meaningful adoption. The adoption of quantum computing is heavily influenced by the ability of participants in the quantum industry, including ourselves, to solve technical challenges to reach “quantum advantage,” which is the point at which quantum computers can solve practical problems beyond the capabilities of classical computers. If “quantum advantage” cannot be achieved, takes longer than expected or is limited in scope, then demand for our software stack may be significantly less than expected.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of Strategic Partners. </w:t>
      </w:r>
      <w:r>
        <w:rPr>
          <w:rFonts w:ascii="Times New Roman" w:cs="Times New Roman" w:eastAsia="Times New Roman" w:hAnsi="Times New Roman"/>
          <w:sz w:val="18"/>
          <w:szCs w:val="18"/>
          <w:color w:val="auto"/>
        </w:rPr>
        <w:t>An important part of our anticipated growth depends on our ability to enter into and maintain partnerships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quantum computer hardware vendors and our ability to access and integrate with such vendors’ systems. Our prospective performance may be adversely impacted if we are unable to establish meaningful relationships with such vendors or are delayed in doing so, especially with faster-growing hardware makers.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Competitive Marketplace. </w:t>
      </w:r>
      <w:r>
        <w:rPr>
          <w:rFonts w:ascii="Times New Roman" w:cs="Times New Roman" w:eastAsia="Times New Roman" w:hAnsi="Times New Roman"/>
          <w:sz w:val="18"/>
          <w:szCs w:val="18"/>
          <w:color w:val="auto"/>
        </w:rPr>
        <w:t>The market for our solutions is fragmented, rapidly evolving and highly competitive. We face competition from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larger software vendors offering developer tools and smaller companies offering point products for features and use cases. Many of our competitors have significantly greater financial resources and expertise in research and development and in bringing products to market and also possess recognizable brands and strong institutional and commercial relationships in comparison to 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Target Customers. </w:t>
      </w:r>
      <w:r>
        <w:rPr>
          <w:rFonts w:ascii="Times New Roman" w:cs="Times New Roman" w:eastAsia="Times New Roman" w:hAnsi="Times New Roman"/>
          <w:sz w:val="18"/>
          <w:szCs w:val="18"/>
          <w:color w:val="auto"/>
        </w:rPr>
        <w:t>We expect that our potential customers will generally be governmental agencies, large enterprises, universities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institutions. Our future success will depend on our ability to effectively sell our products to these categories of customers. Moreover, sales and implementation cycles for such customers tend to be longer and these customers can exert greater purchasing power compared to non-governmental agencies or smaller customers.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R&amp;D. </w:t>
      </w:r>
      <w:r>
        <w:rPr>
          <w:rFonts w:ascii="Times New Roman" w:cs="Times New Roman" w:eastAsia="Times New Roman" w:hAnsi="Times New Roman"/>
          <w:sz w:val="18"/>
          <w:szCs w:val="18"/>
          <w:color w:val="auto"/>
        </w:rPr>
        <w:t>Since quantum computing is a rapidly evolving field, our success depends on our ability to develop and commercialize reliable and cost-effective software tools that enable software applications to harness quantum hardware. This requires substantial technical expertise and an ability to adapt to an evolving technology landscape and is, therefore, subject to significant uncertainty. If we are not able to make the necessary technical progress, then our products may not achieve commercial viability, which would impair our growth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Senior Management</w:t>
      </w:r>
      <w:r>
        <w:rPr>
          <w:rFonts w:ascii="Times New Roman" w:cs="Times New Roman" w:eastAsia="Times New Roman" w:hAnsi="Times New Roman"/>
          <w:sz w:val="17"/>
          <w:szCs w:val="17"/>
          <w:color w:val="auto"/>
        </w:rPr>
        <w:t>. Our future success depends on the continuing efforts of Dr. Joseph Fitzsimons and Dr. Si-Hui Tan. We rely on the knowledge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experience that Dr. Fitzsimons and Dr. Tan provide in quantum science and computing technology. They are the cornerstone of our research and development efforts, which have been, and will continue to be, instrumental in our ability to develop our current and future products and services. The market for such positions is intensely competitive, which could increase our costs to attract and retain talented individuals. In the event Dr. Fitzsimons or Dr. Tan were to become unavailable for any reason, including injury, illness or death, there could be a material adverse impact on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19, 2026, the Company consummated the previously announced Business Combination with DMY, pursuant to the Business Combination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raised an aggregate of US$8,384,000 in gross proceeds from SAFE financings as follows: (a) on July 19, 2025, we entered into a SAFE for gross proceeds of US$3,000,000; (b) between October 7, 2025 and October 9, 2025, we entered into additional SAFEs for aggregate gross proceeds of US$1,000,000; (c) on November 12, 2025, we entered into a SAFE for gross proceeds of US$1,384,000; (d) on December 18, 2025, we entered into a SAFE with Harry You, DMY’s then Chairman, Chief Executive Officer, and Chief Financial Officer, and an affiliate of the Sponsor, for aggregate gross proceeds of US$500,000; (e) on December 29, 2025, we entered into a SAFE for gross proceeds of US$2,000,000; and</w:t>
      </w:r>
    </w:p>
    <w:p>
      <w:pPr>
        <w:spacing w:after="0" w:line="3" w:lineRule="exact"/>
        <w:rPr>
          <w:sz w:val="20"/>
          <w:szCs w:val="20"/>
          <w:color w:val="auto"/>
        </w:rPr>
      </w:pPr>
    </w:p>
    <w:p>
      <w:pPr>
        <w:ind w:firstLine="8"/>
        <w:spacing w:after="0" w:line="260"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16, 2026, we entered into a SAFE for gross proceeds of US$500,000. At close of the Business Combination, all outstanding SAFEs converted into an aggregate of 819,816 Company Class A Shares.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19, 2026, the Company consummated the PIPE Private Placement simultaneously with the closing of the Business Combination, issuing an aggregate of 9,126,021 Company Class A Shares, at a purchase price per share of US$11.82, for aggregate gross proceeds of approximately US$108 million. The Company also received approximately US$11 million as a result of funds disbursed from DMY’s trust account at the Closing.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Agreements in connection with the Business Combination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or in connection with the Business Combination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the Holders of Founder Shares, and Lock-Up Securityholders entered into the Lock-Up Agreements, pursuant to the Lock-Up Shares are subject to lock-up during the period immediately following the Closing until the earlier of (i) the date that is 24 months after the Closing Date and (ii) the date on which the Company completes a liquidation, merger, capital share exchange, reorganization or other similar transaction that results in all of the Company’s shareholders having the right to exchange their Company Shares for cash, securities, or other property and the Warrants and underlying Company Shares will be subject to lock-up during the period immediately following the Closing Date until the end of the Warrants Lock-Up Period. Prior to the Closing, Company, Horizon, and DMY agreed to waive the lock-up restrictions on approximately 9.0% of the Company Class A Shares held by each non-affiliate shareholders. An aggregate of approximately 39,627,691 million Lock-up Shares are subject to the Share Lock-Up Period, representing approximately 76.9% of the total issued and outstanding Company Shares. An aggregate of 2,884,660 Sponsor Warrants, and the underlying 2,884,660 Company Class A Shares issuable upon the exercise of the Sponsor Warrants, are subject to the Warrants Lock-Up Period, representing approximately 47.7% of the issued and outstanding Warrants.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Agreements with PIPE Investors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4, 2025, DMY, Company, and Horizon entered into PIPE Subscription Agreements with the PIPE Investors, pursuant to which the Company agreed to issue and sell, and the PIPE Investors agreed to subscribe for and purchase, an aggregate of $110,412,500 of PIPE Shares, at a per share price equal to the price at which each Public Share may be redeemed in connection with the Business Combination. At the time of the Business Combination, the Redemption Price was $11.82.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6, 2026, DMY, the Company and Horizon entered into additional PIPE Subscription Agreements with additional PIPE Investors, pursuant to which the Company has agreed to issue and sell, and the additional PIPE Investors agreed to subscribe for and purchase an additional $1,450,000 of PIPE Shares, at a per share price equal to the Redemption Price. The additional PIPE Investment includes a $1,000,000 investment by Penchant Family Holdings LLC, an entity controlled by Penchant Holdings, Inc., its Managing Member, of which Danielle Lambert serves as its President. Ms. Lambert is a director of the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on March 6, 2026, DMY, the Company and Horizon offered to each PIPE Investor the option to elect to satisfy their PIPE Investment by purchasing Open-Market Purchase Shares (as defined below) no later than one (1) Business Day prior to the redemption deadline of the Special Meeting. The use of either Currently Owned Shares and/or Open-Market Purchase Shares which purchases would reduce the number of PIPE Shares that such PIPE Investor is obligated to purchase pursuant to the Subscription Agreement on a one-for-one basis. An aggregate of 267,807 Open Market Purchase Shares were purchased by a total of three investors (the “</w:t>
      </w:r>
      <w:r>
        <w:rPr>
          <w:rFonts w:ascii="Times New Roman" w:cs="Times New Roman" w:eastAsia="Times New Roman" w:hAnsi="Times New Roman"/>
          <w:sz w:val="18"/>
          <w:szCs w:val="18"/>
          <w:b w:val="1"/>
          <w:bCs w:val="1"/>
          <w:color w:val="auto"/>
        </w:rPr>
        <w:t>Reduced Investors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Currently Owned Shares</w:t>
      </w:r>
      <w:r>
        <w:rPr>
          <w:rFonts w:ascii="Times New Roman" w:cs="Times New Roman" w:eastAsia="Times New Roman" w:hAnsi="Times New Roman"/>
          <w:sz w:val="18"/>
          <w:szCs w:val="18"/>
          <w:color w:val="auto"/>
        </w:rPr>
        <w:t>” means shares of DMY Class A Shares the PIPE Investor or its affiliates beneficially own as of March 9,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Reduction Right was subject to the Reduced Investors having agreed (i) not to sell or otherwise transfer such Open-Market Purchase Shares prior to the consummation of the Business Combination, (ii) not to vote any Open-Market Purchase Shares in favor of approving the Business Combination and instead submit a proxy abstaining from voting thereon, and (iii) to the extent it has the right to have any of its Open-Market Purchase Shares redeemed for cash in connection with the consummation of the Business Combination, not to exercise any such redemption rights . With respect to the Currently Owned Shares, the Reduction Right is subject to the PIPE Investors having agreed to, and causing their affiliates to: (i) not sell or otherwise transfer such Currently Owned Shares prior to the consummation of the Business Combination; (ii) vote all Currently Owned Shares in favor of approving the Business Combination or any extension of DMY; and (iii) to the extent it has the right to have any of its Currently Owned Shares redeemed for cash in connection with the consummation of the Business Combination or in connection with any extension of DMY, not exercise any such redemption rights. The Reduced Investors were required to deliver a certificate to DMY, the Company and Horizon no later than one Business Days prior to the Redemption Deadline certifying that such PIPE Investor has and will comply with the Open-Market Purchase Reduction Conditions, and Currently Owned Shares Reduction Conditions, among other things.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PIPE Investment closed substantially concurrently with the closing of the Business Combination. Pursuant to the PIPE Subscription Agreements, the Company has also agreed to file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(at the Company’s sole cost and expense), within 15 business days after the consummation of the PIPE Investment (such deadline subject to extension in the event of SEC closures or the unavailability of required financial statements), a registration statement registering the resale of the PIPE Shares, and to use its commercially reasonable efforts to have the registration statement declared effective as soon as practicable after the filing thereof.</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its PIPE Subscription Agreement, Company, DMY, Horizon and IonQ, one of the PIPE Investors, entered into the IonQ Side Letter, which includes, among other things that: (i) IonQ will have a right to select one initial director of the Company to serve on the Board after the Closing who shall (i) qualify as an independent director under Nasdaq rules, (ii) be unaffiliated with IonQ and (iii) be subject to Horizon’s and DMY’s approval; (ii) for so long as IonQ holds not less than 5% of the Company’s outstanding voting securities, IonQ will have the right to nominate one director to serve on Company’s Board who shall (x) qualify as an independent director under Nasdaq rules, (y) be unaffiliated with IonQ and (z) be subject to Company’s approval; (iii) IonQ will enter into a lock-up agreement with the Company, pursuant to which IonQ will agree not to transfer (except for certain permitted transfers as set forth therein) the PIPE Shares until the earlier of 18 months after the closing date and the Shares Lock-Up Period; (iv) the closing of the IonQ PIPE Subscription Agreement will be conditioned on the entry into a commercial agreement by the parties relating to the purchase by Horizon of quantum computing hardware from IonQ; and (v) subject to certain exceptions, for so long as IonQ holds not less than 5% of the Company’s outstanding voting securities, IonQ shall have a right to be notified of (x) the Company’s receipt of an offer to acquire 5% or more of its outstanding voting securities or assets and (y) terms of any proposed sale of securities of the Company in which the aggregate proceeds are expected to equal or exceed $10 million. On March 9, 2026, DMY, Horizon and IonQ agreed to amend the IonQ Side Letter (the “</w:t>
      </w:r>
      <w:r>
        <w:rPr>
          <w:rFonts w:ascii="Times New Roman" w:cs="Times New Roman" w:eastAsia="Times New Roman" w:hAnsi="Times New Roman"/>
          <w:sz w:val="18"/>
          <w:szCs w:val="18"/>
          <w:b w:val="1"/>
          <w:bCs w:val="1"/>
          <w:color w:val="auto"/>
        </w:rPr>
        <w:t>IonQ Amendment</w:t>
      </w:r>
      <w:r>
        <w:rPr>
          <w:rFonts w:ascii="Times New Roman" w:cs="Times New Roman" w:eastAsia="Times New Roman" w:hAnsi="Times New Roman"/>
          <w:sz w:val="18"/>
          <w:szCs w:val="18"/>
          <w:color w:val="auto"/>
        </w:rPr>
        <w:t>”) to waive the entrance into a commercial agreement, as described in (iv) above, as a condition of the IonQ Side Letter. Furthermore, on March 11, 2026, the Company, DMY, Horizon and IonQ agreed to waive the right to select a director, as described in (i) above, as a condition of closing. For the purposes of clarity IonQ have retained the right to propose director nominees as described in (ii)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IonQ Quantum Systems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31, 2026, the Company entered into a Quantum Systems Agreement (the “</w:t>
      </w:r>
      <w:r>
        <w:rPr>
          <w:rFonts w:ascii="Times New Roman" w:cs="Times New Roman" w:eastAsia="Times New Roman" w:hAnsi="Times New Roman"/>
          <w:sz w:val="18"/>
          <w:szCs w:val="18"/>
          <w:b w:val="1"/>
          <w:bCs w:val="1"/>
          <w:color w:val="auto"/>
        </w:rPr>
        <w:t>IonQ Agreement</w:t>
      </w:r>
      <w:r>
        <w:rPr>
          <w:rFonts w:ascii="Times New Roman" w:cs="Times New Roman" w:eastAsia="Times New Roman" w:hAnsi="Times New Roman"/>
          <w:sz w:val="18"/>
          <w:szCs w:val="18"/>
          <w:color w:val="auto"/>
        </w:rPr>
        <w:t>”) with IonQ. The IonQ Agreement governs a strategic, long-term relationship under which IonQ will design, procure, install, and support a dedicated trapped-ion quantum computing system for the Company and provide associated compute, consulting, training, and technical support services, primarily on an on-site and exclusive basis. Pursuant to the IonQ Agreement, IonQ will procure, construct, install, and verify a trapped-ion quantum computing system meeting specified performance benchmarks and install it in a data center designated and operated by the Company. Upon acceptance, title to the physical system transfers to the Company, with IonQ providing maintenance, technical support, quarterly technical reports, and consulting and training services. Both the Company and IonQ shall retain ownership of their respective intellectual property rights, including their own technology and related software. The Company shall own all inputs and computation results, while IonQ shall retain ownership of the IonQ technology and related software specifically licensed under the IonQ Agreement only, granting the Company limited licenses for use during the term. The total consideration to be paid by the Company under the initial statement of work is US$35 million. the Company may choose to exercise a one-year extension for additional consideration.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IonQ Agreement is effective as of March 31, 2026 and continues for the duration of the applicable statement(s) of work. The initial statement of work has a three-year term from system acceptance, with a one-year extension option exercisable by the Company. Either the Company or IonQ may terminate the IonQ Agreement for material breach not cured within 30 days or upon insolvency of the other party. The IonQ Agreement additionally includes mutual intellectual property indemnities and limitations of liability generally capped at fees paid or payable, subject to customary carve-outs. The services and technology are provided pursuant to the IonQ Agreement are on an experimental, “as is” basis. The foregoing summary of the IonQ Agreement is qualified in its entirety by reference to the full text of the IonQ Agreement, which is filed herewith as Exhibit 10.15 to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audited consolidated financial statements for the years ended December 31, 2025 and 2024 included elsewhere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460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600" w:type="dxa"/>
            <w:vAlign w:val="bottom"/>
          </w:tcPr>
          <w:p>
            <w:pPr>
              <w:spacing w:after="0"/>
              <w:rPr>
                <w:sz w:val="18"/>
                <w:szCs w:val="18"/>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48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38,883</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(310,000)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3,458,218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10,696,318</w:t>
            </w: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8,318,157</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7,238,100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986,566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1,785,364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1,388,416</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798,798</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2,911,370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8,572,643</w:t>
            </w: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6,666,648</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5,661,273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5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855,249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1,053,012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818,891</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197,763</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46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8,211,403</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22,107,337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17,192,112</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13,895,934</w:t>
            </w:r>
          </w:p>
        </w:tc>
        <w:tc>
          <w:tcPr>
            <w:tcW w:w="2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(7,851,403)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(22,057,337)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(17,153,229)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(14,205,934)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16"/>
        </w:trPr>
        <w:tc>
          <w:tcPr>
            <w:tcW w:w="4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(49,457)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(11,954)</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(9,296)</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37,503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124,085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107,142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83,321</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(16,943)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(658,218)</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(511,873)</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(658,218)</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293,601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(445,309)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(346,301)</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(738,910)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(7,483,174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(23,065,676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(17,937,378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(15,582,502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material revenue to date. We intend for our revenues to be predominantly generated from our quantum software development tools. Currently, we provide limited quantum research and development services and recognize our revenues when services are delivered to the customer and all criteria for acceptance have been satisfied and generate nominal revenues in connection with these services. The current sources of revenue are not core to our long-term business model, and we do not anticipate that our current sources to be material drivers of revenue in the future.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decreased by S$0.31 million (US$0.24 million) to S$0.05 million (US$0.04 million) for the year ended December 31, 2025, from S$0.36 million for the year ended December 31, 2024. This was primarily driven by the reduction in the number of revenue contract milestones in which Horizon provided research and development services on quantum algorithms.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share-based compensation, travel and benefits expenses for scientists, software engineers and other technical staff engaged in the design, development and testing of our software and hardware systems. It also includes software and other cloud services subscriptions and third-party costs associated with the operation of our hardware testbed. Research and development expenses increased by S$7.24 million, or 209%, to S$10.70 million (US$8.32 million) for the year ended December 31, 2025, from S$3.46 million during the year ended December 31, 2024. The increase was primarily driven by: (a) a S$4.35 million increase in share-based compensation expenses attributable to the vesting of employee share options; (b) a S$2.17 million increase in payroll-related expenses as a result of increased hiring of scientists and engineers; and (c) a S$0.62 million increase in costs from the setup of our hardware testbed and additional cloud service subscription costs and (d) a S$0.10 million increase in other staff related costs associated with an increase in headcount.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share-based compensation, travel and benefits expenses for our marketing and commercial operations teams. It also consists of public relations, trade show and other advertising costs associated with developing partnerships and industry engagement. Selling and marketing expenses increased by S$0.80 million, or 81%, to S$1.79 million (US$1.39 million) for the year ended December 31, 2025 from S$0.99 million during the year ended December 31, 2024. The increase was primarily driven by: (a) a S$0.33 million increase in share-based compensation expenses attributable to the vesting of employee share options; (b) a S$0.41 million increase in payroll-related expenses as a result of increased hiring; and (c) a S$0.06 million increase in staff and vendor expenses associated with greater participation in industry conferences compared to the year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related costs, including salaries, share-based compensation, travel and benefits expenses for our finance, human resources, operations and administrative teams. It also consists of expenses for professional services and compliance, such as legal, audit, accounting, consulting fees as well as insurance, facilities and other overhead expenses. General and administrative expenses increased by S$5.66 million, or 194%, to S$8.57 million (US$6.67 million) for the year ended December 31, 2025 from S$2.91 million during the year ended December 31, 2024. The increase was driven by: (a) a S$2.83 million increase in M&amp;A related and other operational legal expenses; (b) an increase of S$1.69 million in share-based compensation expenses attributable to the vesting of employee share options; (c) a S$0.79 increase in payroll-related expenses due to increase in hiring; (d) a S$0.24 million increase in IT, insurance, travel expenses and other miscellaneous resulting from higher staff and operational requirements; and (e) a S$0.11 million increase in shared office rental expenses incurred by our Irish subsidiary.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expenses represent the allocation of our property, equipment and intangible assets over their estimated lives. Depreciation and amortization expenses increased by S$0.20 million, or 23%, to S$1.05 million (US$0.82 million) for the year ended December 31, 2025 from S$0.86 million during the year ended December 31, 2024. The increase was primarily driven by an increase of: (a) S$0.11 million from depreciation of components of operational quantum computer in Singapore; (b) an increase of S$0.07 million from depreciation of right-of-use assets recognized under lease arrangements; (c) and an increase of S$0.02 million from depreciation of additional computer and related equipment purchased to support higher staff headcount.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for the year ended December 31, 2025, decreased only nominally versus the comparative period of the prior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share-based compensation arrangements granted to employees in accordance with ASC 718, “Compensation: Stock Compensation” (“ASC 718”), by measuring the grant date fair value of the award and recognizing the resulting expense over the period during which the employee is required to perform services in exchange for the award. Equity-based compensation expense is recognized only for awards subject to performance conditions if it is probable that the performance condition will be achieved. We account for forfeitures when they occur.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recognized under research and development, selling and marketing as well as general and administrative expenses increased by S$6.37 million, or a 3993% increase, to S$6.53 million (US$5.07 million) for the year ended December 31, 2025, from S$0.16 million during the year ended December 31, 2024. The increase was attributable to new share option grants and related vesting activity during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was primarily attributable to interest from fixed-rate deposits for the year ended December 31, 2025 decreased nominally versus the comparative period of the prior year due to lower cash and cash equivalent balances across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 Gain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exchange losses increased by S$0.74 million, or 252%, to S$0.45 million (US$0.35 million) for the year ended December 31, 2025 from a gain of S$0.29 million during the year ended December 31, 2024. This was due to the strengthening of the Singapore dollar against the U.S. Dollar, which adversely impacted the remeasurement of cash and bank balances denominated in U.S. Dollars.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an increase in non-cash losses of S$0.66 million (US$0.51 million) for the year ended December 31, 2025, related to the remeasurement of SAFE liabilities compared to nil for the year ended December 31, 2024. This was due to classification of SAFE notes as liabilities that are subsequently remeasured at fair value at each reporting date with changes in fair value recognized in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Going Concern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have been financed primarily through net proceeds from the issuance by Horizon of Series A convertible preference shares prior to the consummation of the Business Combination. As of December 31, 2025 and 2024, we had cash and cash equivalents of S$0.3 million (US$0.2 million) and S$6.6 million (US$5.2 million),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is primarily used in two areas, first to fund operating expenses related to the growth of our business, especially through research and development activities, including personnel related costs and overhead associated with the development and testing of our software and hardware systems. Cash is also used to support sales and marketing activities focused on building new partnerships, maintaining existing ones, funding industry engagement efforts and to support our operations in the areas of compliance, legal, accounting, facilities and other overheads. The second is capital expenditures related to the acquisition of equipment and related components to build our hardware testbed.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incurred net losses of S$23.1 million (US$17.9 million) and S$7.5 million (US$5.8 million) during the years ended December 31, 2025 and 2024, respectively, and have an accumulated deficit of S$44.5 million (US$34.6 million) as of December 31, 2025. As previously disclosed, these conditions raised substantial doubt about our ability to continue as a going concern within one year after the date that the financial statements were issued.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primary objective of Horizon’s capital management is to ensure that it maintains sound capital position in order to support its business and maximize shareholder value. On March 19, 2026, the Company consummated the previously announced Business Combination with DMY. Upon closing of the Business Combination, Horizon became a wholly owned subsidiary and the primary operating entity of the Company, which is now publicly traded. The closing of the Business Combination provided the Company with gross proceeds of approximately US$120 million, consisting of funds held in DMY’s trust account (after redemptions) and proceeds from a concurrent PIPE Private Placement. Accordingly, management has concluded that the conditions that previously raised substantial doubt about Horizon’s ability to continue as a going concern has been alleviated.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ability to begin to recognize revenue and our revenue growth rate, the timing and extent of spending to support further research and development and sales and marketing efforts. In order to finance these opportunities, we will need to raise additional capital. However, we may not be able to raise additional capital on terms acceptable to us or at all. To the extent that we raise additional capital through the sale of equity or convertible debt securities, the ownership interest of our shareholders could be diluted, and the terms of these securities may include liquidation or other preferences that adversely affect the rights of its shareholders. Debt financing and equity financing, if available, may involve agreements that include covenants limiting or restricting its ability to take specific actions, such as incurring additional debt, making capital expenditures or declaring dividends. If we raise funds through collaborations, or other similar arrangements with third parties, we may have to relinquish valuable rights to our quantum computing technology on terms that may not be favorable to us and/or may reduce the value of the Company Shares. If we are unable to raise additional capital when desired, we may be required to delay, limit, reduce or terminate our quantum computing development efforts, and our business, results of operations and financial condition would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summarized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46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6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00" w:type="dxa"/>
            <w:vAlign w:val="bottom"/>
          </w:tcPr>
          <w:p>
            <w:pPr>
              <w:spacing w:after="0"/>
              <w:rPr>
                <w:sz w:val="18"/>
                <w:szCs w:val="18"/>
                <w:color w:val="auto"/>
              </w:rPr>
            </w:pPr>
          </w:p>
        </w:tc>
        <w:tc>
          <w:tcPr>
            <w:tcW w:w="14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SGD</w:t>
            </w: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(7,429,105)</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(13,131,645)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(10,212,025)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(5,702,540)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(2,733,902)</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(514,711)</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(400,273)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2,219,191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7,580,385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5,895,003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7,580,385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4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2025, was S$13.1 million (US$10.2 million), resulting primarily from a net loss of S$23.1 million, adjusted for (a) non-cash charges of S$6.5 million in share-based compensation expense; (b) S$1.1 million in depreciation and amortization; (c) S$0.7 million in change in fair value of derivative liabilities; (d) S$0.4 million of unrealized foreign exchange loss; and (e) S$1.3 million of changes in working capital. The increase in net cash used in operating activities from the prior year was primarily related to the our increase in hiring of research and development personnel and associated operational support costs.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was S$7.4 million (US$5.8 million), resulting primarily from a net loss of S$7.5 million, adjusted for: (a) non-cash charges of S$0.9 million in depreciation and amortization; (b) S$0.2 million in share-based compensation; and offset by (c) S$0.7 million of changes in working capital; and (d) S$0.3 million of unrealized foreign exchange gain.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2025, was S$0.5 million (US$0.4 million) representing additions of S$0.3 million of purchases relating to computer and office equipment to support increased staff headcount and operational requirements and additions of S$0.2 million to equipment primarily related to the development of a quantum computing system.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S$2.7 million (US$2.1 million) representing additions of S$1.7 million to equipment primarily related to the development of a quantum computing system, additions of S$0.9 million attributable to capital expenditures for office renovation works, and additions of S$0.1 million of purchases relating to computer and office equipment to support increased staff headcount and operational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2025, was S$7.6 million (US$5.9 million) for the period reflecting net proceeds from the issuances of SAFEs.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was nil for the period as we did not undertake any financing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lease office space in Singapore under three operating lease agreements with average remaining lease terms of approximately 15 months. The lease agreements provide for monthly rental payments and other service charges. See “</w:t>
      </w:r>
      <w:r>
        <w:rPr>
          <w:rFonts w:ascii="Times New Roman" w:cs="Times New Roman" w:eastAsia="Times New Roman" w:hAnsi="Times New Roman"/>
          <w:sz w:val="18"/>
          <w:szCs w:val="18"/>
          <w:i w:val="1"/>
          <w:iCs w:val="1"/>
          <w:color w:val="auto"/>
        </w:rPr>
        <w:t>Note 7 — Right-Of-Use Assets and Lease Liabilities</w:t>
      </w:r>
      <w:r>
        <w:rPr>
          <w:rFonts w:ascii="Times New Roman" w:cs="Times New Roman" w:eastAsia="Times New Roman" w:hAnsi="Times New Roman"/>
          <w:sz w:val="18"/>
          <w:szCs w:val="18"/>
          <w:color w:val="auto"/>
        </w:rPr>
        <w:t>” in our consolidated financial statements and notes thereto for the fiscal years ended December 31, 2025 and 2024 included in this prospectus for more information. We also entered a material purchase commitment with Maybell Quantum Industries Inc., to purchase capital equipment related to its hardware testbed. The unpaid contract value of the agreement is approximately US$581 thousand, payment is required upon delivery and acceptance of the equipment, and the transaction is expected to close in the second or third fiscal quarter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through the date of this prospectus, we do not have any off-balance sheet arrangements, as defined in the rules and regulations of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liabilities, revenues and expenses. Critical accounting estimates are those estimates made in accordance with GAAP that involve a significant level of estimation uncertainty and have had or are reasonably likely to have a material impact on the financial condition or results of operations of the company. In accounting for share-based compensation and SAFE derivative liabilities, the use of valuation methods for awards granted prior to our becoming a publicly traded company, the use of estimates in option valuation model inputs such as expected volatility, term of options, risk-free interest rates, the usage of probability-weighted expected return method (“PWERM”), supported by use of a Monte Carlo simulation method to derive fair value changes for SAFE liabilities are subjective and the change in these assumptions can materially affect the amount of share-based compensation expense recognized in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2025, Horizon provided research and development services on quantum algorithms and revenue is recognized when services are delivered to the customer and all criteria for acceptance have been satisfied.</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2—Revenue Recognition</w:t>
      </w:r>
      <w:r>
        <w:rPr>
          <w:rFonts w:ascii="Times New Roman" w:cs="Times New Roman" w:eastAsia="Times New Roman" w:hAnsi="Times New Roman"/>
          <w:sz w:val="18"/>
          <w:szCs w:val="18"/>
          <w:color w:val="auto"/>
        </w:rPr>
        <w:t>” in our consolidated financial statements and notes for the fiscal years ended December 31, 2025 and 2024 included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office spaces in Singapore are leased under three operating lease agreements. Leases are accounted for under ASC 842. We determine if an arrangement is or contains a lease at inception. Right of use assets represent our right to use the underlying asset for the lease term and lease liabilities represent our obligation to make lease payments arising from the lease. Right of use assets and lease liabilities are recognized at the commencement date based on the present value of the lease payments over the lease term. As our leases do not provide an implicit rate and the implicit rate is not readily determinable, we estimate our incremental borrowing rate based on the information available at the measurement date in determining the present value of the lease payments. Right of use assets also exclude lease incentives.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2—Leases</w:t>
      </w:r>
      <w:r>
        <w:rPr>
          <w:rFonts w:ascii="Times New Roman" w:cs="Times New Roman" w:eastAsia="Times New Roman" w:hAnsi="Times New Roman"/>
          <w:sz w:val="18"/>
          <w:szCs w:val="18"/>
          <w:color w:val="auto"/>
        </w:rPr>
        <w:t>” in our consolidated financial statements and notes for the fiscal years ended December 31, 2025 and 2024 included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share-based compensation expense in accordance with ASC 718. We measure and recognize compensation expense for all stock-based awards based on estimated fair values on the date of the grant, recognized over the requisite service period. For awards that vest solely based on a service condition, we recognize share-based compensation expense on a straight-line basis over the requisite service period. We account for forfeitures in the period in which they occur.</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2—Share-Based Compensation</w:t>
      </w:r>
      <w:r>
        <w:rPr>
          <w:rFonts w:ascii="Times New Roman" w:cs="Times New Roman" w:eastAsia="Times New Roman" w:hAnsi="Times New Roman"/>
          <w:sz w:val="18"/>
          <w:szCs w:val="18"/>
          <w:color w:val="auto"/>
        </w:rPr>
        <w:t>” in our consolidated financial statements and notes for the fiscal years ended December 31, 2025 and 2024 included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and Foreign Currency Translation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we conduct our operations is the Singapore Dollar (“SGD”). We use SGD as our functional currency. The results of our non-Singaporean subsidiary, whose functional currency is the local currency of the economic environment in which it operates, is translated into SGD in accordance with U.S. GAAP.</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2—“Foreign Operations Foreign Currency Translation</w:t>
      </w:r>
      <w:r>
        <w:rPr>
          <w:rFonts w:ascii="Times New Roman" w:cs="Times New Roman" w:eastAsia="Times New Roman" w:hAnsi="Times New Roman"/>
          <w:sz w:val="18"/>
          <w:szCs w:val="18"/>
          <w:color w:val="auto"/>
        </w:rPr>
        <w:t>” in our consolidated financial statements and notes for the fiscal years ended December 31, 2025 and 2024 included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be involved in various legal proceedings, claims, and regulatory, tax or other government inquiries and investigations that arise in the ordinary course of business. Certain of these matters could include claims for substantial or indeterminate amounts of damages. We will record a liability when we believe that a loss is probable, and the amount can be reasonably estimated. If we determine that a loss is reasonably possible and the loss or range of loss can be reasonably estimated, we will disclose the possible loss in the accompanying notes to our consolidated financial statements. If we determine that a loss is reasonably possible, but the loss or range of loss cannot be reasonably estimated, we will state in the accompanying notes to our consolidated financial statements that an estimate of the loss cannot be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 operations through our Irish subsidiary and we incur expenses and record assets and liabilities in local currencies such as the Euro. We also maintain cash balances in US dollars with major financial institutions in Singapore. Accordingly, fluctuations in foreign currency exchange rates relative to the Singapore Dollar may impact our consolidated financial statements. For the year ended December 31, 2025 and 2024, we reported foreign currency translation gain of approximately S$154 thousand and a loss of approximately S$17 thousand, respectively. We expect that our exposure to loss in future earnings, fair values or cash flows resulting from foreign exchange risk will increase as our operations in Ireland grow and as a result of future sales in other global markets, such as North America and Europe. We have not engaged in the hedging of foreign currency transactions to date, although we may choose to do so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included in Note 2 to our consolidated financial statements included elsewhere in this prospectus.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ASU 2023-07 “Segment Reporting (Topic 280): Improvements to Reportable Segment Disclosures on January 1, 2024 and the adoption did not have a material impact on our consolidated financial statements. We are currently evaluating the impact of ASU 2023-09 “Income Taxes (Topic 740): Improvements to Income Tax Disclosures” and ASU 2024-03, “Income Statement – Reporting Comprehensive Income – Expenses Disaggregation Disclosures (Subtopic 220-40)” on our consolidated financial statements. Please additionally refer to Note 2 for recently adopted accounting pronouncements and recently issued accounting pronouncements not yet adopted as of the dates of the statement of financial position included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defined in Section 102(b)(1) of the JOBS Act, we are an emerging growth company (“EGC”). As such, we will be eligible for and intends to rely on certain exemptions and reduced reporting requirements provided by the JOBS Act,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EGC until the earliest of (1) the last day of its fiscal year during which it has total annual gross revenues of at least US$1.235 billion; (2) the last day of its fiscal year following the fifth anniversary of DMY’s initial public offering; (3) the date on which we have, during the previous three-year period, issued more than US$1.0 billion in non-convertible debt; or (4) the date on which the Company is deemed to be a “large accelerated filer” under the Securities Exchange Act of 1934, as amended, or the Exchange Act, which would occur if we have been a public company for at least 12 months and the market value of the Company Class A Shares that are held by non-affiliates exceeds US$700 million as of the last business day of its most recently completed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 OF DMY</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DMY’s financial condition and results of operations of dMY Squared Technology Group, Inc. (for purposes of this section, “DMY”, “we,” “us” and “our”) should be read in conjunction with the audited financial statements of DMY as of and for the years ended December 31, 2025 and 2024, and the notes thereto, included elsewhere in this prospectus.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company, DMY, is a blank check company incorporated in Massachusetts. We were formed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not commenced any operations. All activity for the period from February 15, 2022 (inception) through December 31, 2025 relates to our formation and the Initial Public Offering (as defined below), and since the closing of the Initial Public Offering, the search for a prospective initial business combination. We will not generate any operating revenues until after the completion of our initial business combination, at the earliest. We generate non-operating income from the proceeds derived from the Initial Public Offering.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“Sponsor” is dMY Squared Sponsor, LLC, a Delaware limited liability company. The registration statement for our Initial Public Offering was declared effective on September 29, 2022. On October 4, 2022, we consummated our Initial Public Offering of 6,000,000 Units, at $10.00 per Unit, generating gross proceeds of $60.0 million, and incurring offering costs of approximately $3.7 million, of which $2.1 million and approximately $26,000 was for deferred underwriting commissions and offering costs allocated to derivate warrant liabilities, respectively (the “Initial Public Offering”). On October 7, 2022, the underwriter exercised its over-allotment option in part, and on October 11, 2022, the underwriter purchased 319,000 Over-Allotment Units (the “</w:t>
      </w:r>
      <w:r>
        <w:rPr>
          <w:rFonts w:ascii="Times New Roman" w:cs="Times New Roman" w:eastAsia="Times New Roman" w:hAnsi="Times New Roman"/>
          <w:sz w:val="18"/>
          <w:szCs w:val="18"/>
          <w:b w:val="1"/>
          <w:bCs w:val="1"/>
          <w:color w:val="auto"/>
        </w:rPr>
        <w:t>Over-Allotment Units</w:t>
      </w:r>
      <w:r>
        <w:rPr>
          <w:rFonts w:ascii="Times New Roman" w:cs="Times New Roman" w:eastAsia="Times New Roman" w:hAnsi="Times New Roman"/>
          <w:sz w:val="18"/>
          <w:szCs w:val="18"/>
          <w:color w:val="auto"/>
        </w:rPr>
        <w:t>”), generating gross proceeds of approximately $3.2 million. The underwriter waived the remainder of its over-allotment option. We incurred additional offering costs of approximately $156,000 in connection with the underwriter’s partial exercise of its over-allotment option (of which approximately $112,000 was for deferred underwriting fees).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we consummated a private placement of 2,840,000 DMY Private Warrants, at a price of $1.00 per DMY Private Warrant to our Sponsor, generating proceeds of approximately $2.8 million. On October 11, 2022, simultaneously with the issuance and sale of the over-allotment units, we consummated the sale of 44,660 additional DMY Private Warrants generating additional gross proceeds of approximately $45,000.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concurrently with the closing of the Initial Public Offering, our Sponsor extended an overfunding loan to us in the amount of $900,000 at no interest (the “</w:t>
      </w:r>
      <w:r>
        <w:rPr>
          <w:rFonts w:ascii="Times New Roman" w:cs="Times New Roman" w:eastAsia="Times New Roman" w:hAnsi="Times New Roman"/>
          <w:sz w:val="18"/>
          <w:szCs w:val="18"/>
          <w:b w:val="1"/>
          <w:bCs w:val="1"/>
          <w:color w:val="auto"/>
        </w:rPr>
        <w:t>Initial Overfunding Loan</w:t>
      </w:r>
      <w:r>
        <w:rPr>
          <w:rFonts w:ascii="Times New Roman" w:cs="Times New Roman" w:eastAsia="Times New Roman" w:hAnsi="Times New Roman"/>
          <w:sz w:val="18"/>
          <w:szCs w:val="18"/>
          <w:color w:val="auto"/>
        </w:rPr>
        <w:t>”), to be deposited into our U.S.-based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On October 11, 2022, simultaneously with the sale of the Over-Allotment Units, our Sponsor extended an additional Overfunding Loan to us in an aggregate amount of $47,850, to be deposited in the Trust Account (the “</w:t>
      </w:r>
      <w:r>
        <w:rPr>
          <w:rFonts w:ascii="Times New Roman" w:cs="Times New Roman" w:eastAsia="Times New Roman" w:hAnsi="Times New Roman"/>
          <w:sz w:val="18"/>
          <w:szCs w:val="18"/>
          <w:b w:val="1"/>
          <w:bCs w:val="1"/>
          <w:color w:val="auto"/>
        </w:rPr>
        <w:t>Additional Overfunding Loan</w:t>
      </w:r>
      <w:r>
        <w:rPr>
          <w:rFonts w:ascii="Times New Roman" w:cs="Times New Roman" w:eastAsia="Times New Roman" w:hAnsi="Times New Roman"/>
          <w:sz w:val="18"/>
          <w:szCs w:val="18"/>
          <w:color w:val="auto"/>
        </w:rPr>
        <w:t>,” together with the Intial Overfunding Loan, the “</w:t>
      </w:r>
      <w:r>
        <w:rPr>
          <w:rFonts w:ascii="Times New Roman" w:cs="Times New Roman" w:eastAsia="Times New Roman" w:hAnsi="Times New Roman"/>
          <w:sz w:val="18"/>
          <w:szCs w:val="18"/>
          <w:b w:val="1"/>
          <w:bCs w:val="1"/>
          <w:color w:val="auto"/>
        </w:rPr>
        <w:t>Overfunding Loans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Upon the closing of the Initial Public Offering, the private placement and the Overfunding Loans, approximately $64.1 million ($10.15 per Unit) of the net proceeds of the sale of the Units, the Over-Allotment Units, and the DMY Private Warrants and the proceeds from the Overfunding Loans were initially placed in the Trust Account and were invested in United States government securities, within the meaning set forth in Section 2(a)(16) of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with a maturity of 185 days or less in any open-ended investment company that holds itself out as a money market fund meeting certain conditions of Rule 2a-7 of the Investment Company Act, as determined by us, until the earlier of: (i) the completion of a business combination, (ii) the redemption of Class A common stock of DMY, par value $0.0001 per share (the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 issued as a component of our units in our Initial Public Offering properly submitted in connection with a shareholder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amend our Amended and Restated Articles of Organization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modify the substance or timing of our of our obligation to redeem 100% of our Public Shares if we do not complete our initial business combination within the period between December 29, 2025 to January 29, 2026 and to allow DMY, without another shareholder vote, by resolution of the board of directors, to elect to further extend such date up to five times for an additional one month each time, until up to June 29, 2026 (such time period,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or with respect to any other material provisions relating to shareholders’ rights or pre-initial business combination activity, and (iii) our return of the funds held in the Trust Account to our Public Shareholders as part of our redemption of the Public Shares if we do not complete an initial business combination during the Combination Period. At the special meeting on January 2, 2024, our shareholders approved an amendment to the Investment Management Trust Agreement, permitting the trustee to, in a timely manner, upon the written instruction of our company, (i) hold funds uninvested, (ii) hold funds in an interest-bearing bank demand deposit account, or (iii) invest and reinvest the funds in solely United States government securities within the meaning of Section 2(a)(16) of the Investment Company Act, having a maturity of 185 days or less, or in money market funds meeting the conditions of Rule 2a-7 promulgated under the Investment Company Act, which invest only in direct U.S. government treasury obligations. The trustee is not permitted to invest in other securities or assets. Investing in our securities is not intended for persons who are seeking a return on investments in government securities or investment securities. Instead, the Trust Account is intended as a holding place for funds pending the use of such funds upon completion of a business combination or distribution upon redemption of our Public Shares. On September 25, 2024, we instructed Continental Stock Transfer &amp; Trust Company, the trustee with respect to the Trust Account, to transfer our Trust Account out of investment in securities into an interest-bearing bank deposit account in order to mitigate the risk of being deemed an unregistered investment company, and the account was transferred in March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shareholders approved the proposal to amend the Charter and eliminate such Redemption Limitation (as defined below). If a shareholder vote is not required by law and we do not decide to hold a shareholder vote for business or other legal reasons, we will, pursuant to its Charter, conduct the redemptions pursuant to the tender offer rules of the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file tender offer documents with the SEC prior to completing a business combination. If, however, shareholder approval of the transaction is required by law, or we decide to obtain shareholder approval for business or legal reasons, we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we seek shareholder approval in connection with a business combination, the initial shareholders agreed to vote their 2,875,000 shares of the DMY’s Class B common stock, par value $0.0001 per share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 2024, we held a special meeting of its shareholders to extend the date by which we had to consummate our initial business combination (the “</w:t>
      </w:r>
      <w:r>
        <w:rPr>
          <w:rFonts w:ascii="Times New Roman" w:cs="Times New Roman" w:eastAsia="Times New Roman" w:hAnsi="Times New Roman"/>
          <w:sz w:val="18"/>
          <w:szCs w:val="18"/>
          <w:b w:val="1"/>
          <w:bCs w:val="1"/>
          <w:color w:val="auto"/>
        </w:rPr>
        <w:t>First Extension</w:t>
      </w:r>
      <w:r>
        <w:rPr>
          <w:rFonts w:ascii="Times New Roman" w:cs="Times New Roman" w:eastAsia="Times New Roman" w:hAnsi="Times New Roman"/>
          <w:sz w:val="18"/>
          <w:szCs w:val="18"/>
          <w:color w:val="auto"/>
        </w:rPr>
        <w:t>”), from January 4, 2024 to January 29, 2024 and to allow us, without another shareholder vote, by resolution of the board of directors, to elect to further extend such date up to twenty-three times for an additional one month each time, until up to December 29, 2025, only if our Sponsor or its designee would deposit into the Trust Account as a loan, (i) on or before January 4, 2024, with respect to the initial extension, an amount of $41,667, and (ii) one business day following the public announcement by us disclosing that the board of directors has determined to implement an additional monthly extension, with respect to each such additional extension, an amount of $50,000. In connection with the shareholder approval of the First Extension, an aggregate of 3,980,414 Public Shares were redeemed for an aggregate of approximately $42.0 million on January 4, 2024. Our board of directors elected to use all twenty-three monthly extensions and, accordingly, Harry You made an aggregate of $1,191,667 of contributions to the Trust Account.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January 2, 2024, we issued a non-interest bearing “Convertible Note” to Harry You with a principal amount up to $1.75 million in connection with Contributions that Mr. You may make to the Trust Account and for working capital purposes. The Convertible Note bears no interest and is repayable on the earlier of: (i) the date on which we consummate an initial business combination and (ii) the liquidation date. If we do not consummate a business combination before the end of the Combination Period, the Convertible Note will be repaid only from funds held outside of the Trust Account or will be forfeited, eliminated or otherwise forgiven. Upon the consummation of our initial business combination, up to $1,500,000 of the outstanding principal of the Convertible Note may be converted into warrants, at a price of $1.00 per warrant, at the option of Mr. You.</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15, 2025, our shareholders approved a further amendment to the Charter to extend the date by which we have to consummate our initial business combination (the “</w:t>
      </w:r>
      <w:r>
        <w:rPr>
          <w:rFonts w:ascii="Times New Roman" w:cs="Times New Roman" w:eastAsia="Times New Roman" w:hAnsi="Times New Roman"/>
          <w:sz w:val="18"/>
          <w:szCs w:val="18"/>
          <w:b w:val="1"/>
          <w:bCs w:val="1"/>
          <w:color w:val="auto"/>
        </w:rPr>
        <w:t>Second Extension</w:t>
      </w:r>
      <w:r>
        <w:rPr>
          <w:rFonts w:ascii="Times New Roman" w:cs="Times New Roman" w:eastAsia="Times New Roman" w:hAnsi="Times New Roman"/>
          <w:sz w:val="18"/>
          <w:szCs w:val="18"/>
          <w:color w:val="auto"/>
        </w:rPr>
        <w:t>”), from December 29, 2025 to January 29, 2026 and to allow DMY, without another shareholder vote, by resolution of the board of directors, to elect to further extend such date up to five times for an additional one month each time, until up to June 29, 2026. No further contributions are required in connection with the Second Extension. In connection with the shareholder approval of the Second Extension, an aggregate of 12,599 Public Shares were redeemed for an aggregate of approximately $147,778. As of the date of this Annual Report, the board of directors has extended the Combination Period, monthly, through March 29, 2026.</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shareholder meeting to approve the First Extension, our shareholders also approved proposals to (1) amend the Charter to provide for the right of a holder of Class B Shares to convert their Class B Shares into Class A Shares on a one-for-one basis at any time and from time to time at the election of the holder; (2) amend the Charter to eliminate from the Charter (i) the limitation that we may not redeem Public Shares in an amount that would cause our net tangible assets to be less than $5,000,001 and (ii) the limitation that we will not consummate a business combination unless we have net tangible assets of at least $5,000,001 (collectively, the “</w:t>
      </w:r>
      <w:r>
        <w:rPr>
          <w:rFonts w:ascii="Times New Roman" w:cs="Times New Roman" w:eastAsia="Times New Roman" w:hAnsi="Times New Roman"/>
          <w:sz w:val="18"/>
          <w:szCs w:val="18"/>
          <w:b w:val="1"/>
          <w:bCs w:val="1"/>
          <w:i w:val="1"/>
          <w:iCs w:val="1"/>
          <w:color w:val="auto"/>
        </w:rPr>
        <w:t>Redemption Limitation</w:t>
      </w:r>
      <w:r>
        <w:rPr>
          <w:rFonts w:ascii="Times New Roman" w:cs="Times New Roman" w:eastAsia="Times New Roman" w:hAnsi="Times New Roman"/>
          <w:sz w:val="18"/>
          <w:szCs w:val="18"/>
          <w:color w:val="auto"/>
        </w:rPr>
        <w:t>”); (3) amend the Charter to permit the board of directors, in its sole discretion, to elect to wind up our operations at any time, as determined by the board and included in a public announcement (the “</w:t>
      </w: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(4) amend the Trust Agreement to reflect the amendments to the Charter. In connection with the shareholder meeting to approve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Extension, our shareholders also approved a proposal to amend the Trust Agreement to reflect the Second Extension.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complete a business combination within the Combination Period of March 29, 2026 or as extended to June 29, 2026, we will</w:t>
      </w:r>
    </w:p>
    <w:p>
      <w:pPr>
        <w:spacing w:after="0" w:line="27" w:lineRule="exact"/>
        <w:rPr>
          <w:sz w:val="20"/>
          <w:szCs w:val="20"/>
          <w:color w:val="auto"/>
        </w:rPr>
      </w:pPr>
    </w:p>
    <w:p>
      <w:pPr>
        <w:jc w:val="both"/>
        <w:ind w:firstLine="8"/>
        <w:spacing w:after="0" w:line="251" w:lineRule="auto"/>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subject to lawfully available funds therefor, redeem one hundred percent (100%) of the Offering Shares in consideration of a per-share price, payable in cash, equal to the quotient obtained by dividing (A) the aggregate amount then on deposit in the Trust Account, including interest not previously released to us to pay our taxes (less up to $100,000 of interest to pay dissolution expenses), by (B) the total number of then outstanding Offering Shares, which redemption will completely extinguish rights of the Public Shareholders (including the right to receive further liquidating distributions, if any), subject to applicable law, and (iii) as promptly as reasonably possible following such redemption, subject to the approval of the remaining shareholders and the board of directors in accordance with applicable law, dissolve and liquidate, subject in each case to our obligations under the MBCA to provide for claims of creditors and other requirements of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Tax Withdrawals from Trust Account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and April 2024, we withdrew a total of approximately $1.9 million of funds from the Trust Account for purposes of payment of tax liabilities and tax estimates, and such funds were deposited into our operating account. Funds representing interest earned on the amounts held in the Trust Account are permitted to be withdrawn from the Trust Account for the payment of taxes under the Charter and the terms of the Trust Agreement. On April 17, 2024, we paid approximately $0.89 million for 2023 taxes, leaving approximately $0.97 million remaining to be used for upcoming tax estimates. We used approximately $0.69 million of the balance of the withdrawn funds for the payment of general operating expenses. Management determined that the use of funds was not in accordance with the Trust Agreement, and, in March 2025, our Sponsor contributed approximately $0.73 million to us representing the amount of such operating expenses plus approximately $0.04 million in respect of interest that would have been earned on the remaining amount of approximately $0.97 million for the period from the original withdrawals to the date of the contribution. We paid an aggregate of approximately $0.75 million for such tax obligations on March 21, 2025. On March 25, 2025, we re-contributed to the Trust Account approximately $0.22 million of the remaining amounts not used for payment of taxes plus approximately $0.04 million in respect of interest that would have been earned had such funds remained in the Trust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Excise Tax</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(H.R. 5376) (the “</w:t>
      </w:r>
      <w:r>
        <w:rPr>
          <w:rFonts w:ascii="Times New Roman" w:cs="Times New Roman" w:eastAsia="Times New Roman" w:hAnsi="Times New Roman"/>
          <w:sz w:val="18"/>
          <w:szCs w:val="18"/>
          <w:b w:val="1"/>
          <w:bCs w:val="1"/>
          <w:i w:val="1"/>
          <w:iCs w:val="1"/>
          <w:color w:val="auto"/>
        </w:rPr>
        <w:t>IRA</w:t>
      </w:r>
      <w:r>
        <w:rPr>
          <w:rFonts w:ascii="Times New Roman" w:cs="Times New Roman" w:eastAsia="Times New Roman" w:hAnsi="Times New Roman"/>
          <w:sz w:val="18"/>
          <w:szCs w:val="18"/>
          <w:color w:val="auto"/>
        </w:rPr>
        <w:t>”) was signed into federal law. The IR Act provides for, among other things, a new 1% U.S. federal excise tax on certain repurchases (including certain redemptions) of stock by publicly traded domestic (i.e. U.S.) corporations and certain domestic subsidiaries of publicly traded foreign (i.e., non-U.S.) corporations (each, a “</w:t>
      </w:r>
      <w:r>
        <w:rPr>
          <w:rFonts w:ascii="Times New Roman" w:cs="Times New Roman" w:eastAsia="Times New Roman" w:hAnsi="Times New Roman"/>
          <w:sz w:val="18"/>
          <w:szCs w:val="18"/>
          <w:b w:val="1"/>
          <w:bCs w:val="1"/>
          <w:i w:val="1"/>
          <w:iCs w:val="1"/>
          <w:color w:val="auto"/>
        </w:rPr>
        <w:t>Covered Corporation</w:t>
      </w:r>
      <w:r>
        <w:rPr>
          <w:rFonts w:ascii="Times New Roman" w:cs="Times New Roman" w:eastAsia="Times New Roman" w:hAnsi="Times New Roman"/>
          <w:sz w:val="18"/>
          <w:szCs w:val="18"/>
          <w:color w:val="auto"/>
        </w:rPr>
        <w:t>”) occurring on or after January 1, 2023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 Excise Tax is imposed on the repurchasing corporation itself, not its shareholders from which shares are repurchased. The amount of the Excise Tax is generally 1% of the fair market value of the shares repurchased at the time of the repurchase. For purposes of calculating the Excise Tax, repurchasing corporations are permitted to net the fair market value of certain new stock issuances against the fair market value of stock repurchases during the same taxable year, subject to certain exceptions.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U.S. Department of Treasury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has been given authority to provide regulations and other guidance to carry out and prevent the abuse or avoidance of the Excise Tax. On June 28, 2024, the Treasury issued final regulations addressing the procedural aspects of the Excise Tax reporting and payment, and on November 24, 2025, the Treasury issued final regulations that provide substantive operating rules and computation for the Excise Tax.</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final regulations, redemptions of our Public Shares in January 2024 and December 2025 in connection with the First Extension and Second Extension are subject to the Excise Tax. Failure to timely pay the obligation in full would subject us to additional interest and penalties. In December 2025, DMY filed its excise tax return related to the January 2024 Redemption and paid an aggregate of approximately $570,000, consisting of approximately $420,000 of Excise Tax in connection with the First Extension and approximately $150,000 of related penalties and interest. The Excise Tax attributable to the January 2024 Redemption was recorded as a charge to accumulated deficit in accordance with ASC 480-10-S99-3A, while the related penalties and interest were recorded within general and administrative expenses in the accompanying statements of operations. As disclosed in our Annual Report on Form 10-K for the year ended December 31, 2024, filed with the SEC on April 3, 2025, the applicability of the Excise Tax to such redemptions was uncertain at 2024 year-end due to pending regulatory guidance and other factors. In 2025, based on additional guidance and analysis, management concluded that recognition of the obligation was appropriate.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redemptions in connection with the Second Extension in December 2025 totaled $147,778, which did not exceed the $1 million de minimis threshold. Accordingly, no excise tax expense was incurred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Listing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NYSE American Rules Section 119(b), we were required to complete our initial business combination within 36 months of the effective date of our Initial Public Offering registration statement, which date was September 29, 2025. Because we did not complete our initial business combination by such date, the trading of our DMY Class A Shares, DMY Public Warrants, and DMY Units was suspended at the closing of business on September 29, 2025, and our securities were removed from listing and registration on NYSE American exchange.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began trading our Class A common stock and Company Public Warrants on the OTCQB Market and our DMY Units on the OTCID Market, each operated by The OTC Market Systems (the “</w:t>
      </w:r>
      <w:r>
        <w:rPr>
          <w:rFonts w:ascii="Times New Roman" w:cs="Times New Roman" w:eastAsia="Times New Roman" w:hAnsi="Times New Roman"/>
          <w:sz w:val="18"/>
          <w:szCs w:val="18"/>
          <w:b w:val="1"/>
          <w:bCs w:val="1"/>
          <w:i w:val="1"/>
          <w:iCs w:val="1"/>
          <w:color w:val="auto"/>
        </w:rPr>
        <w:t>OTC Market</w:t>
      </w:r>
      <w:r>
        <w:rPr>
          <w:rFonts w:ascii="Times New Roman" w:cs="Times New Roman" w:eastAsia="Times New Roman" w:hAnsi="Times New Roman"/>
          <w:sz w:val="18"/>
          <w:szCs w:val="18"/>
          <w:color w:val="auto"/>
        </w:rPr>
        <w:t>”), under the symbols “DMYY”, “DMYYW”, and “DMYYU”, respectively, effective at the open of trading on September 30,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remain a reporting entity under the Securities Exchange Act of 1934, as amended, with respect to continued disclosure of financial and operational information. However, there may be a very limited market in which our securities are traded, and the trading price of our securities may be adversely affected. We can provide no assurance that our securities will continue to trade on the OTC Market, whether broker-dealers will continue to provide public quotes of our securities on the OTC Market, or whether the trading volume of our securities will be sufficient to provide for an efficient trading market for existing and potential holders of our securities</w:t>
      </w:r>
      <w:r>
        <w:rPr>
          <w:rFonts w:ascii="Times New Roman" w:cs="Times New Roman" w:eastAsia="Times New Roman" w:hAnsi="Times New Roman"/>
          <w:sz w:val="18"/>
          <w:szCs w:val="18"/>
          <w:b w:val="1"/>
          <w:bCs w:val="1"/>
          <w:i w:val="1"/>
          <w:iCs w:val="1"/>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 with Horizon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9, 2025, we entered into the Business Combination Agreement with Holdco, Horizon, Merger Sub 1, and Merger Sub 2. Pursuant to the Business Combination Agreement, (i) Holdco was converted from a Singapore private company to a Singapore public company and was renamed “Horizon Quantum Holdings Ltd.”, (ii) the Amalgamation will occur, whereby Horizon and Merger Sub 1 will amalgamate, with Horizon surviving as a wholly-owned subsidiary of Holdco, and (iii) the SPAC Merger will occur whereby Merger Sub 2 will merge with and into DMY, with DMY surviving as a wholly-owned subsidiary of Holdco. The consummation of the Proposed Business Combination will result in DMY’s and Horizon’s securityholders becoming securityholders of Holdco, which will become a public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Horizon is in the business of developing operating systems software and software development tools for quantum computing and related services.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and the Business Combination were unanimously approved by the boards of directors of each of DMY and Horizon. The closing of the Business Combination is subject to the receipt of the required approvals by DMY’s and Horizon’s shareholders and the satisfaction of other customary closing conditions, including the requirement to meet a minimum cash condition of $45 million plus transaction expenses.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concurrently with the execution of the Business Combination Agreement, DMY, the Sponsor, Holdco and Horizon entered into a voting support agreement. Also concurrently with the execution of the Business Combination Agreement, DMY and Holdco entered into voting support agreements with Horizon and all shareholders of Horizon.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4, 2025, in connection with the Business Combination, DMY, Holdco, and Horizon entered into PIPE Subscription Agreements, which were subsequently amended on March 9, 2026, with the PIPE Investors. Pursuant to the PIPE Subscription Agreements, as of December 31, 2025, Holdco agreed to issue and sell, and the PIPE Investors agreed to subscribe for and purchase, in a private placement, an aggregate investment of approximately $110.4 million of PIPE Shares, at a per share price equal to the redemption price. Subsequent to December 31, 2025, additional investors entered into subscription agreements increasing the aggregate PIPE commitment to approximately $111.9 million. The PIPE Investors may elect to satisfy their commitments through Class A Shares purchased in the open market or held prior to March 9, 2026.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PIPE Investment is expected to close substantially concurrently with the closing of the Business Combination, subject to the satisfaction of certain closing conditions set forth in the PIPE Subscription Agreements. We have engaged a financial advisor in connection with the Business Combination and related financing transactions. The advisor is entitled to transaction-based compensation contingent only upon completion of the Business Combination.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PIPE Subscription Agreement, on December 4, 2025, Holdco, DMY, Horizon and IonQ, one of the PIPE Investors, entered into the IonQ Side Letter, as subsequently amended on March 9, 2026, which provides certain commercial and governance rights commensurate with IonQ’s strategic investment in Horizon, including the right to select one director to serve on the board of directors of Holdco, subject to certain independence and approval requirements, an 18-month lock-up on IonQ’s PIPE Shares, and certain notice and information rights for so long as IonQ maintains specified ownership thresholds.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17, 2026, the SEC declared effective the registration statement on Form F-4 (333-292737) filed by Holdco and Horizon in connection with the Proposed Business Combination. On the same day, DMY filed its Definitive Proxy Statement and began mailing the Definitive Proxy Statement to its shareholders of record as of February 6, 2026. A special meeting of DMY’s shareholders was held on March 17, 2026. At the special meeting, DMY shareholders approved the Proposed Business Combination and related matters. If the closing conditions are satisfied or waived, we currently expect the closing to occur in March 2026. However, there can be no assurance that the Business Combination will be consummated on the currently anticipated timeline, or at all, as the closing remains subject to various conditions, including the level of stockholder redemptions and necessary regulatory approvals.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and related agreements are further described in our Current Report on Form 8-K filed with the SEC on September 9, 2025, and our Definitive Proxy Statement filed with the SEC on February 17, 2026, as supplemented on March 6, 2026. The PIPE Subscription Agreements, IonQ Side Letter, and related agreements are further described in our Current Reports on Form 8-K filed with the SEC on December 5, 2025, and March 9, 2026. Other than as specifically discussed, this Annual Report does not assume the closing of the Proposed Business Combination or the transactions contemplated by the Business Combination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Conversion of Founder Shares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2025, the Sponsor distributed 416,266 Founder Shares to one of its members, pro rata, for no consideration. Such shares were then converted on a one-for-one basis into DMY Class A Shares and donated to charity. As a result, as of March 18, 2026, the Sponsor owned an aggregate of 1,163,484 Founder Shares in the form of DMY Class B Shares and other holders of Founder Shares hold an aggregate of 416,266 Founder Shares in the form of DMY Class A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Going Concern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minimal cash and working capital deficit of approximately $8.2 million. Further, we have incurred and expected to continue to incur significant costs in pursuit of our acquisition plans.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Initial Public Offering, our liquidity needs were satisfied through the payment of $25,000 from our Sponsor to purchase Founder Shares and a loan under the note in the amount of approximately $145,000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We fully repaid the Note balance on October 4, 2022. The Note was no longer available to us after closing of our Initial Public Offering. Subsequent to the closing of the Initial Public Offering and the partial exercise of the over-allotment option granted to our underwriters, our liquidity needs have been satisfied through the net proceeds from the consummation of the Initial Public Offering and the private placement held outside of the Trust Account and advances from related parties (approximately $2.4 million in advances outstanding as of December 31, 2025).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order to provide the Contribution and to finance transaction costs in connection with a business combination, we issued the Convertible Note to an affiliate of the Sponsor with a principal amount up to $1.75 million on January 2, 2024 as discussed above. As of December 31, 2025, we had an outstanding amount of $1,191,667 under the Convertible Note. All proceeds received under the Convertible Note were contributed into the Trust Account.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management’s assessment of going concern considerations in accordance with FASB ASC 2014-15, “Disclosure of Uncertainties about an Entity’s Ability to Continue as a Going Concern,” our management has determined that the liquidity condition, mandatory liquidation, should a business combination not occur, and potential subsequent dissolution raises substantial doubt about our ability to continue as a going concern through the earlier of the liquidation date of March 29, 2026 or the completion of the initial business combination. There is no assurance that our plans to consummate the Business Combination with Horizon or any other business combination will be successful or successful within the Combination Period. These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Global economic conditions remain subject to significant uncertainty and volatility resulting from a combination of changes in laws or regulations, downturns in the financial markets or in economic conditions, inflation, fluctuations in interest rates, increases in tariffs, supply chain disruptions, declines in consumer confidence and spending, public health considerations. Ongoing and escalating military conflicts, including the conflict between Russia and Ukraine and conflicts in the Middle East, as well as the risk of further escalation or expansion of such conflicts, have contributed to heightened geopolitical instability and increased uncertainty in global markets.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These conditions have adversely affected, and may continue to adversely affect, global economic activity through, among other things, disruptions to energy and commodity markets, volatility in foreign exchange and capital markets, supply chain dislocations, increased cybersecurity risks, and reduced cross-border trade and investment. In addition, elevated interest rates, inflationary pressures, tightening credit conditions, and concerns regarding sovereign debt and fiscal stability in various jurisdictions have contributed to increased volatility and reduced liquidity in global financial markets.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extent and duration of these conditions remain uncertain, and the ultimate impact on the global economy, financial markets, and business confidence cannot be predicted. Continued or worsening geopolitical tensions, adverse macroeconomic developments, or additional policy or regulatory responses could adversely affect our ability to complete the Proposed Business Combination with Horizon, or any other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Covered Corporation, as that term is used in the IR Act, and expect to be subject to the Excise Tax in connection with our initial business combination. We expect that the closing of the Proposed Business Combination with Horizon and the redemption event in connection with such business combination will both occur during 2026, and, accordingly, that we will be subject to the Excise Tax. The extent of the Excise Tax that may be incurred would depend on a number of factors, including (i) the fair market value of the Class A Shares redeemed, (ii) the extent such redemptions could be treated as dividends and not repurchases, (iii) the nature and amount of the equity issued, if any, by DMY within the same taxable year of the redemption treated as a repurchase of stock, and (iv) the content of any other guidance from the U.S. Department of the Treasury. As noted above, the Excise Tax is imposed on the repurchasing corporation itself, not the shareholders from which shares are repurchased. The imposition of the Excise Tax could reduce the amount of cash available on hand to complete a business combination or to effect the redemptions of Class A Shares and thus may affect our ability to complete a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entire activity from February 15, 2022 (inception) through December 31, 2025 is related to our formation and the preparation for our Initial Public Offering, and since the closing of our Initial Public Offering, the search for a prospective initial business combination. We will not generate any operating revenues until after the completion of our initial business combination. We generate non-operating income in the form of investment income from the Trust Account. We will continue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derivative liabilities at each reporting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we had net loss of approximately $17.8 million, which consisted of approximately $4.4 million of general and administrative expenses (of which $120,000 was for administrative expenses paid to our Sponsor and approximately $3.1 million was for merger expenses) and approximately $163,000 of federal and state tax expenses, and approximately $14.3 million of loss from change in fair value of the derivative warrant liabilities, partially offset by approximately $1.1 million of interest income from operating account and cash and investments held in the Trust Account.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net loss of approximately $819,000, which consisted of approximately $1.1 million of general and administrative expenses (of which $120,000 was for administrative expenses paid to our Sponsor), approximately $482,000 of federal and state tax expenses, and approximately $544,000 of gain from change in fair value of the derivative warrant liabilities. partially offset by approximately $1.3 million of interest income from operating account and investments held in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4, 2022, we entered into an agreement pursuant to which we agreed to pay our Sponsor $10,000 per month for office space, administrative and support services. Upon completion of a business combination or our liquidation, we will cease paying these monthly fees. We recorded $120,000 in connection with such fees during each of the years ended December 31, 2025 and 2024 in the accompanying statements of operations. We recorded an outstanding balance of $310,000 and $190,000 as of December 31, 2025 and December 31, 2024, respectively in connection with such fees in accrued expenses in the accompanying balance sheets.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Founder Shares, DMY Private Warrants and warrants that may be issued upon conversion of working capital loans and the Contributions (and any shares of common stock issuable upon the exercise of the DMY Private Warrants or warrants issued upon conversion of the Working Capital Loans and the Contributions and upon conversion of the Founder Shares and the Overfunding Loans), will be entitled to registration rights pursuant to a registration and shareholder rights agreement signed upon the consummation of the Initial Public Offering. These holders will be entitled to certain demand and “piggyback” registration rights. We will bear the expenses incurred in connection with the filing of any such registration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$0.14 per Unit, or approximately $0.8 million in the aggregate, paid upon the closing of the Initial Public Offering. An additional fee of $0.35 per Unit, or $2.1 million in the aggregate will be payable to the underwriter for deferred underwriting commissions. The deferred fee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underwriter was entitled to an additional fee of approximately $45,000, which was paid upon closing of the over-allotment option, and approximately $112,000 in deferred underwriting commissions in connection with the consummation of the underwriter’s partial exercise of its over-allotment 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Overfunding Loans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extended the Overfunding Loan to DMY in an aggregate amount of $900,000. On October 11, 2022, simultaneously with the sale of the Over-Allotment Units, the Sponsor extended the Additional Overfunding Loan to DMY in an amount of $47,850, for an aggregate outstanding principal amount of $947,850 to be deposited in the Trust Account. Upon the closing of the initial business combination, the Overfunding Loans will be repaid or converted into DMY Class A Shares at a conversion price of $10.00 per share (or a combination of both), at the Sponsor’s discretion. If DMY does not complete an initial business combination, it will not repay the Overfunding Loans from amounts held in the Trust Account, and its proceeds will be distributed to the Public Shareholders; however, DMY may repay the Overfunding Loans if there are funds available outside the Trust Account to do so.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Contribution and advances our Sponsor may make in the future to our company for working capital expenses, on January 2, 2024, we issued a Convertible Note to an affiliate of our Sponsor with a principal amount up to $1.75 million. The Convertible Note bears no interest and is repayable in full upon the earlier of (a) the date of the consummation of our initial business combination, or (b) the date of our liquidation. If we do not consummate an initial business combination by the end of the Combination Period, the Convertible Note will be repaid only from funds held outside of the Trust Account or will be forfeited, eliminated or otherwise forgiven. Upon the consummation of our initial business combination, up to $1,500,000 of the outstanding principal of the Convertible Note may be converted into warrants, at a price of $1.00 per warrant, at the option of the Sponsor. Such warrants will have terms identical to the Private Placement Warrants.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an outstanding amount of $1,191,667 and $641,667 under the Convertible Note, respectively. All proceeds received under the Convertible Note were contributed into the Trust Account.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option to convert the Convertible Note into warrants qualifies as an embedded derivative under ASC 815 and is required to be recognized at fair value with subsequent changes in fair value recognized in our statements of operations each reporting period until the Convertible Note is repaid or converted. As of December 31, 2025 and 2024, the fair value of the embedded conversion option was de minimis.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income and expenses during the periods reported. Actual results could materially differ from those estimates. We have identified the following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issued in connection with the Company Public Warrants and Private Placement Warrants were recognized as derivative liabilities in accordance with ASC 815. Accordingly, we recognized the warrant instruments as liabilities at fair value and will adjust the instruments to fair value at each reporting period. The liabilities are subject to re-measurement at each balance sheet date until exercised, and any change in fair value will be recognized in the statements of operations. The fair value of the Company Public Warrants and Private Placement Warrants were initially measured at fair value using the Black-Scholes model and the Monte Carlo simulation model, respectively. Beginning in December 2022, the fair value of Company Public Warrants has been measured based on the listed market price of such Company Public Warrants. The estimated fair value of the Private Placement Warrants was subsequently determined using the Monte Carlo simulation method with Level 3 inputs. The determination of the fair value of the derivative warrant liabilities may be subject to change as more current information becomes available and accordingly the actual results could differ significantly.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did not have any off-balance sheet arrangements as defined in Item 303(b)(1) of Regulation S-K and did not have any commitments or contractual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Company is managed by or under the direction of the Board. Officers of the Company will be elected by the Board from time to time and will hold office for the term as determined by the Board. The Board currently consists of four individuals.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prospectus, concerning the persons who serve as directors and executive officers of the Company. Additionally, pursuant to the IonQ Side letter, IonQ has the right to select one initial director of the Company to serve on the Company’s Board who shall (i) qualify as an independent director under the Nasdaq Rules, (ii) be unaffiliated with IonQ and (iii) be subject to the Company’s and DMY’s approval. We will disclose IonQ’s designee by filing a Form 6-K.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Joseph F. Fitzsimons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M. Gould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Si-Hui Tan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Science Officer</w:t>
            </w:r>
          </w:p>
        </w:tc>
      </w:tr>
      <w:tr>
        <w:trPr>
          <w:trHeight w:val="198"/>
        </w:trPr>
        <w:tc>
          <w:tcPr>
            <w:tcW w:w="3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Catherine Fitzsimons</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Chief Legal and Compliance Officer, EVP of Strategic Initiatives and Company Secretary</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(effective May 11, 2026)</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L. You</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Danielle Lambert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Turner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of the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Joseph Fitzsimons </w:t>
      </w:r>
      <w:r>
        <w:rPr>
          <w:rFonts w:ascii="Times New Roman" w:cs="Times New Roman" w:eastAsia="Times New Roman" w:hAnsi="Times New Roman"/>
          <w:sz w:val="18"/>
          <w:szCs w:val="18"/>
          <w:color w:val="auto"/>
        </w:rPr>
        <w:t>is our Chairman and Chief Executive Officer since March 2026, and has been the Chief Executive Officer of Horizon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2019, after founding Horizon in January 2018. Dr. Fitzsimons is an academic authority on quantum computing with extensive research and development expertise. Prior to Horizon, from May 2013 to February 2019, Dr. Fitzsimons was a professor at the Singapore University of Technology and Design, achieving the position of a tenured associate professor in 2018. In addition, from November 2010 until February 2019, Dr. Fitzsimons held various position at the Center for Quantum Technologies in Singapore, ultimately becoming a Principal Investigator in 2017, a position Dr. Fitzsimons held for the remainder of his time there. Prior to that, between October 2007 and September 2010, Dr. Fitzsimons simultaneously held positions as a Senior Research Fellow and a Junior Research Fellow within Oxford University’s Department of Materials and Merton College, respectively. Additionally, from 2006 until 2007, Dr. Fitzsimons was a Graduate Teaching Assistant at Oriel College. Dr. Fitzsimons has held multiple visiting positions at academic institutions between 2006 and 2018, included at the University of California, Berkley, University College in Dublin, Ireland and the Institute for Quantum Computing at the University of Waterloo. Dr. Fitzsimons has received several awards and distinctions, most notably from the MIT Technology Review, the Singapore National Research Foundation and the University of Oxford. Since 2008, Dr. Fitzsimons has been awarded ten research grants from a variety of governmental and academic institutions. Dr. Fitzsimons received his doctorate in 2007 from the University of Oxford’s Department of Materials, having completed a doctoral thesis titled Architectures for Quantum Computation under Restricted Controls. Prior to this, he was awarded his Bachelor of Science in theoretical physics from University College Dublin, Ireland, achieving first class honors. Dr. Fitzsimons’ work has been cited over 6,900 times, he is listed as an inventor on three patents related to quantum computing, has authored in excess of 60 publications and is a member of multiple professional societies, including as president of the Southeast Asia Quantum Industry Association and as board member of the Irish Chamber of Commerce in Singapore.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Gould </w:t>
      </w:r>
      <w:r>
        <w:rPr>
          <w:rFonts w:ascii="Times New Roman" w:cs="Times New Roman" w:eastAsia="Times New Roman" w:hAnsi="Times New Roman"/>
          <w:sz w:val="18"/>
          <w:szCs w:val="18"/>
          <w:color w:val="auto"/>
        </w:rPr>
        <w:t>is our Chief Financial Officer since March 2026 and has been the Chief Financial Officer of Horizon since August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Gould is a seasoned professional with deep investment and operational expertise in the tech sector, from AI, to FinTech, InsurTech, blockchain, retail tech and PropTech. In addition to his role at Horizon, Mr. Gould acts as a strategic advisor to Penchant Holdings, Inc., and as a venture partner with 14 Peaks Capital Advisors LLC, positions he has held since December 2024 and May 2022, respectively. Mr. Gould’s participation in 14 Peaks Capital is voluntary and advisory, and he receives no remuneration for any services he may choose to provide. 14 Peaks Capital does not participate in the quantum computing market, and Horizon does not consider Mr. Gould’s involvement with them to be a conflict of interest with Horizon’s interests or Mr. Gould’s time. From December 2023 to May 2024, Mr. Gould was the Chief Financial Officer of FitMatch Inc., a leading AI-driven ‘FitTech company that lets consumers find correct-fitting clothing. Prior to Fit, from May 2022 to September 2023, Mr. Gould was the Chief Financial Officer of Groundspeed Analytics, Inc., an InsurTech solution provider, where he rebuilt the finance team and successfully raised funding and helped drive a merger with Two Sigma Insurance Quantified, LP (a/ka/ Insurance Quantified). Earlier in his career, from January 2019 to January 2021, Mr. Gould was a Senior Vice President at Quarters Holdings GmbH, a PropTech company. From July 2017 to August 2019, was a Senior Advisor at CORESTATE Capital Holdings S.A. (XTERA: CCAP.DE), an investment manager and co-investor. Finally, Mr. Gould began his career at Goldman Sachs Group, Inc. (“</w:t>
      </w:r>
      <w:r>
        <w:rPr>
          <w:rFonts w:ascii="Times New Roman" w:cs="Times New Roman" w:eastAsia="Times New Roman" w:hAnsi="Times New Roman"/>
          <w:sz w:val="18"/>
          <w:szCs w:val="18"/>
          <w:b w:val="1"/>
          <w:bCs w:val="1"/>
          <w:color w:val="auto"/>
        </w:rPr>
        <w:t>Goldman</w:t>
      </w:r>
      <w:r>
        <w:rPr>
          <w:rFonts w:ascii="Times New Roman" w:cs="Times New Roman" w:eastAsia="Times New Roman" w:hAnsi="Times New Roman"/>
          <w:sz w:val="18"/>
          <w:szCs w:val="18"/>
          <w:color w:val="auto"/>
        </w:rPr>
        <w:t>”), where he became a Managing Director and Co-Deputy Director of Goldman’s Global Technology Investment Research Group, leading equity and fixed income transactions. In 2023, Mr. Gould was identified as a “Top 25 CFO” of Miami by TheTopCFOs.com (f/k/a Finance &amp; Investing), a publication focusing on business news and corporate actions related to banking, finance, and other topics relevant to public and private markets. Mr. Gould obtained his Bachelor of Science in Finance, Sloan School of Management from Massachusetts Institute of Technology, in 1990.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Si-Hui Tan </w:t>
      </w:r>
      <w:r>
        <w:rPr>
          <w:rFonts w:ascii="Times New Roman" w:cs="Times New Roman" w:eastAsia="Times New Roman" w:hAnsi="Times New Roman"/>
          <w:sz w:val="18"/>
          <w:szCs w:val="18"/>
          <w:color w:val="auto"/>
        </w:rPr>
        <w:t>is our Chief Science Officer since March 2026and has been the Chief Science Officer of Horizon since March 2019. Dr. Tan is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accomplished academic and researcher in the field of quantum computing, with extensive experience in research and development. Prior to Horizon, from October 2013 to February 2019, Dr. Tan was a research Scientist at the Singapore University of Technology and Design, where she specialized in research and development as it pertains to quantum computation. Before her time at the Singapore University of Technology and Design, from December 2010 to October 2013, Dr. Tan was a research scientist at A*Star Data Storage Institute, where her research focused primarily on quantum optics and quantum communications. Dr. Tan has received ten academic honors and awards, most recently, as a 2025 SG Digital Leader and in 2021 she was named as a Singapore 100 Women in Tech. Dr. Tan’s publications have also been cited over 1800 times. Dr. Tan obtained her Doctor of Philosophy in Physics from Massachusetts Institute of Technology, and her Bachelor of Science in Physics from the California Institute of Technology (Caltech).</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Catherine Fitzsimons </w:t>
      </w:r>
      <w:r>
        <w:rPr>
          <w:rFonts w:ascii="Times New Roman" w:cs="Times New Roman" w:eastAsia="Times New Roman" w:hAnsi="Times New Roman"/>
          <w:sz w:val="18"/>
          <w:szCs w:val="18"/>
          <w:color w:val="auto"/>
        </w:rPr>
        <w:t>will serve as the Chief Legal and Compliance Officer, EVP of Strategic Initiatives and Company Secretary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May 11, 2026, and will be responsible for overseeing all the legal, regulatory, compliance and corporate governance matters relating to the Company. Since February 2015, Ms. Fitzsimons has served in various roles at Fidelity International Ltd. (“</w:t>
      </w:r>
      <w:r>
        <w:rPr>
          <w:rFonts w:ascii="Times New Roman" w:cs="Times New Roman" w:eastAsia="Times New Roman" w:hAnsi="Times New Roman"/>
          <w:sz w:val="18"/>
          <w:szCs w:val="18"/>
          <w:b w:val="1"/>
          <w:bCs w:val="1"/>
          <w:color w:val="auto"/>
        </w:rPr>
        <w:t>Fidelity</w:t>
      </w:r>
      <w:r>
        <w:rPr>
          <w:rFonts w:ascii="Times New Roman" w:cs="Times New Roman" w:eastAsia="Times New Roman" w:hAnsi="Times New Roman"/>
          <w:sz w:val="18"/>
          <w:szCs w:val="18"/>
          <w:color w:val="auto"/>
        </w:rPr>
        <w:t>”), ultimately achieving the title Director of Strategic Initiatives. Over the course of her time with Fidelity, Ms. Fitzsimons served as Head of Global Product Legal and provided legal support and advice in relation to Fidelity’s European and Cross-Border fund ranges. Additionally, Ms. Fitzsimons has served as a non-executive director on Fidelity’s Irish fund ranges. Prior to joining Fidelity, between May 2009 and January 2015, Ms. Fitzsimons practiced financial services law with a specific focus on asset management and investment funds, advising a wide range of domestic and international clients on all aspects of their business, including their asset management activities, and the structuring, establishment, marketing and sale of investment vehicles in Ireland and other jurisdictions. Ms. Fitzsimons is a member of the Law Society of Ireland, and has also acted as a lecturer and internal examiner. Ms. Fitzsimons is a certified investment fund director and holds a Bachelor of Civil Law and a Post-Graduate Diploma in International Financial Services Law from University College Dublin, as well as a Diploma in Applied Finance Law.</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Harry L. You </w:t>
      </w:r>
      <w:r>
        <w:rPr>
          <w:rFonts w:ascii="Times New Roman" w:cs="Times New Roman" w:eastAsia="Times New Roman" w:hAnsi="Times New Roman"/>
          <w:sz w:val="18"/>
          <w:szCs w:val="18"/>
          <w:color w:val="auto"/>
        </w:rPr>
        <w:t>has served as our director since March 2026 and previously served as the Chairman and a Director of DMY from March 2022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2026, as well as the Chief Financial Officer of DMY from February 2022 to March 2026, and the Chief Executive Officer of DMY from February 2025 to March 2026. Mr. You is also currently the Executive Chairman of Berto Acquisition Corp. From March 3, 2022 until his resignation on March 15, 2023, Mr. You also served as the Co-Chief Executive Officer of DMY. Previously, Mr. You was the Chairman of the board of Coliseum Acquisition Corp. (“</w:t>
      </w:r>
      <w:r>
        <w:rPr>
          <w:rFonts w:ascii="Times New Roman" w:cs="Times New Roman" w:eastAsia="Times New Roman" w:hAnsi="Times New Roman"/>
          <w:sz w:val="18"/>
          <w:szCs w:val="18"/>
          <w:b w:val="1"/>
          <w:bCs w:val="1"/>
          <w:color w:val="auto"/>
        </w:rPr>
        <w:t>Coliseum</w:t>
      </w:r>
      <w:r>
        <w:rPr>
          <w:rFonts w:ascii="Times New Roman" w:cs="Times New Roman" w:eastAsia="Times New Roman" w:hAnsi="Times New Roman"/>
          <w:sz w:val="18"/>
          <w:szCs w:val="18"/>
          <w:color w:val="auto"/>
        </w:rPr>
        <w:t>”) from June 2023 to December 2024 and interim Chief Executive Officer and interim Chief Financial Officer of Coliseum from June 2023 to July 2023. He has served as the Executive Chairman and a director of Rain Enhancement Technologies Holdco Inc. since the company combined with Coliseum on December 31, 2024. He has also been a member of the audit committee of Broadcom Inc. since January 2019 as well as Chairman of the Compensation Committee and a member of the Executive Committee of the board of directors of Broadcom. Previously, he was Chief Financial Officer from September 2016 to August 2019 and President in May 2019 and from September 2016 to February 2019 of GTY, a software as a service company that offers cloud-based solutions for the public sector. He was Executive Vice President in the Office of the Chairman of EMC Corporation (“</w:t>
      </w:r>
      <w:r>
        <w:rPr>
          <w:rFonts w:ascii="Times New Roman" w:cs="Times New Roman" w:eastAsia="Times New Roman" w:hAnsi="Times New Roman"/>
          <w:sz w:val="18"/>
          <w:szCs w:val="18"/>
          <w:b w:val="1"/>
          <w:bCs w:val="1"/>
          <w:color w:val="auto"/>
        </w:rPr>
        <w:t>EMC</w:t>
      </w:r>
      <w:r>
        <w:rPr>
          <w:rFonts w:ascii="Times New Roman" w:cs="Times New Roman" w:eastAsia="Times New Roman" w:hAnsi="Times New Roman"/>
          <w:sz w:val="18"/>
          <w:szCs w:val="18"/>
          <w:color w:val="auto"/>
        </w:rPr>
        <w:t>”) from 2008 to 2016. When Mr. You joined EMC in 2008, he oversaw corporate strategy and new business development, including mergers and acquisitions, joint ventures and venture capital activity. He was Chief Executive Officer from 2005 to 2007 and Interim Chief Financial Officer from 2005 to 2006 of BearingPoint Inc. He was Executive Vice President and Chief Financial Officer of Oracle Corporation (“</w:t>
      </w:r>
      <w:r>
        <w:rPr>
          <w:rFonts w:ascii="Times New Roman" w:cs="Times New Roman" w:eastAsia="Times New Roman" w:hAnsi="Times New Roman"/>
          <w:sz w:val="18"/>
          <w:szCs w:val="18"/>
          <w:b w:val="1"/>
          <w:bCs w:val="1"/>
          <w:color w:val="auto"/>
        </w:rPr>
        <w:t>Oracle</w:t>
      </w:r>
      <w:r>
        <w:rPr>
          <w:rFonts w:ascii="Times New Roman" w:cs="Times New Roman" w:eastAsia="Times New Roman" w:hAnsi="Times New Roman"/>
          <w:sz w:val="18"/>
          <w:szCs w:val="18"/>
          <w:color w:val="auto"/>
        </w:rPr>
        <w:t>”) from 2004 to 2005. Prior to joining Oracle, he held several key positions in finance, including as Chief Financial Officer of Accenture Ltd. and managing director in the Investment Banking Division of Morgan Stanley. He also served as a trustee of the U.S. Olympic Committee Foundation from 2016 to 2022. Mr. You served as a director and Chairman of the audit committee of IonQ, Inc. from October 2021 to February 2025. Mr. You served as Vice Chairman of the board of GTY from February 2019 to July 2022 and as director of Coupang, Inc. from January 2021 to June 2023, Genius Sports from April 2021 to December 2022, Rush Street from September 2019 to June 2022, dMY II (a special purpose acquisition company) from June 2020 to April 2021, dMY IV (a special purpose acquisition company) from December 2020 to April 2023, and Korn/Ferry International from 2005 to 2016. Mr. You holds an M.A. in Economics from Yale University and a B.A. in Economics from Harvard College. The Board has determined that Mr. You is well-qualified to serve on our Board due to his extensive and varied deal experience throughout his career, including his experience structuring Dell Technologies Inc.’s $67 billion acquisition of EMC as EMC’s Executive Vice President, his experience as a member of IonQ’s board of directors, his network of contacts in the technology sector, and his prior special purpose acquisition company experience with DMY and eight other special purpose acquisition companies (GTY, dMY I, dMY II, dMY III, dMY IV, dMY VI, Coliseum, and Berto).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Danielle Lambert </w:t>
      </w:r>
      <w:r>
        <w:rPr>
          <w:rFonts w:ascii="Times New Roman" w:cs="Times New Roman" w:eastAsia="Times New Roman" w:hAnsi="Times New Roman"/>
          <w:sz w:val="18"/>
          <w:szCs w:val="18"/>
          <w:color w:val="auto"/>
        </w:rPr>
        <w:t>has served as our director since since March 2026. Currently, Ms. Lambert serves as Chief Executive Officer and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Penchant Holdings, Inc. (“</w:t>
      </w:r>
      <w:r>
        <w:rPr>
          <w:rFonts w:ascii="Times New Roman" w:cs="Times New Roman" w:eastAsia="Times New Roman" w:hAnsi="Times New Roman"/>
          <w:sz w:val="18"/>
          <w:szCs w:val="18"/>
          <w:b w:val="1"/>
          <w:bCs w:val="1"/>
          <w:color w:val="auto"/>
        </w:rPr>
        <w:t>Penchant</w:t>
      </w:r>
      <w:r>
        <w:rPr>
          <w:rFonts w:ascii="Times New Roman" w:cs="Times New Roman" w:eastAsia="Times New Roman" w:hAnsi="Times New Roman"/>
          <w:sz w:val="18"/>
          <w:szCs w:val="18"/>
          <w:color w:val="auto"/>
        </w:rPr>
        <w:t>”), a position she has held since December 2022. Prior to Penchant, between May 2010 and February 2014, Ms. Lambert was an initial investor and served as an advisor to Nest Labs, Inc. through their acquisition by Alphabet, Inc. Additionally, between October 2000 and November 2008, Ms. Lambert served in various capacities at Apple Inc. (“</w:t>
      </w:r>
      <w:r>
        <w:rPr>
          <w:rFonts w:ascii="Times New Roman" w:cs="Times New Roman" w:eastAsia="Times New Roman" w:hAnsi="Times New Roman"/>
          <w:sz w:val="18"/>
          <w:szCs w:val="18"/>
          <w:b w:val="1"/>
          <w:bCs w:val="1"/>
          <w:color w:val="auto"/>
        </w:rPr>
        <w:t>Apple</w:t>
      </w:r>
      <w:r>
        <w:rPr>
          <w:rFonts w:ascii="Times New Roman" w:cs="Times New Roman" w:eastAsia="Times New Roman" w:hAnsi="Times New Roman"/>
          <w:sz w:val="18"/>
          <w:szCs w:val="18"/>
          <w:color w:val="auto"/>
        </w:rPr>
        <w:t>”), ultimately achieving the title of Vice President of Human Resources. While at Apple, Ms. Lambert played a pivotal role in building the teams behind some of Apple’s most iconic products. Ms. Lambert was selected to serve on our Board because of her extensive experience in early-stage business development and human resource expertise.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Jill Turner </w:t>
      </w:r>
      <w:r>
        <w:rPr>
          <w:rFonts w:ascii="Times New Roman" w:cs="Times New Roman" w:eastAsia="Times New Roman" w:hAnsi="Times New Roman"/>
          <w:sz w:val="18"/>
          <w:szCs w:val="18"/>
          <w:color w:val="auto"/>
        </w:rPr>
        <w:t>has served as our director since since March 2026. Currently, Ms. Turner serves as Chief Human Resources Officer for Broadcom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Broadcom</w:t>
      </w:r>
      <w:r>
        <w:rPr>
          <w:rFonts w:ascii="Times New Roman" w:cs="Times New Roman" w:eastAsia="Times New Roman" w:hAnsi="Times New Roman"/>
          <w:sz w:val="18"/>
          <w:szCs w:val="18"/>
          <w:color w:val="auto"/>
        </w:rPr>
        <w:t>”), a position she has held since April 2021. At Broadcom, Ms. Turner is the lead global Human Resources function and is responsible for all strategic human resources activity. Prior to Broadcom, between October 2013 and March 2021, Ms. Turner served as a human recourses senior vice president for Lumen Technologies, Inc., f/k/a Century Link, Inc., (“</w:t>
      </w:r>
      <w:r>
        <w:rPr>
          <w:rFonts w:ascii="Times New Roman" w:cs="Times New Roman" w:eastAsia="Times New Roman" w:hAnsi="Times New Roman"/>
          <w:sz w:val="18"/>
          <w:szCs w:val="18"/>
          <w:b w:val="1"/>
          <w:bCs w:val="1"/>
          <w:color w:val="auto"/>
        </w:rPr>
        <w:t>Lumen</w:t>
      </w:r>
      <w:r>
        <w:rPr>
          <w:rFonts w:ascii="Times New Roman" w:cs="Times New Roman" w:eastAsia="Times New Roman" w:hAnsi="Times New Roman"/>
          <w:sz w:val="18"/>
          <w:szCs w:val="18"/>
          <w:color w:val="auto"/>
        </w:rPr>
        <w:t>”). Prior to Lumen, between October 2013 and January 2000, Ms. Turner held various leadership positions within the human resources department at Honeywell International Inc. Ms. Turner received both her Master of Human Resources and Industrial Relations and her Bachelor of Science in Kinesiology from the University of Illinois at Urbana-Champaign. Ms. Turner was selected to serve on our Board due to her extensive experience in corporate leadership and human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Catherine Fitzsimons is the sister of Horizon’s and the Company’s Chief Executive Officer and Chairman, Joseph Fitzsimons.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amended and restated constitution (“</w:t>
      </w:r>
      <w:r>
        <w:rPr>
          <w:rFonts w:ascii="Times New Roman" w:cs="Times New Roman" w:eastAsia="Times New Roman" w:hAnsi="Times New Roman"/>
          <w:sz w:val="18"/>
          <w:szCs w:val="18"/>
          <w:b w:val="1"/>
          <w:bCs w:val="1"/>
          <w:color w:val="auto"/>
        </w:rPr>
        <w:t>A&amp;R Constitution</w:t>
      </w:r>
      <w:r>
        <w:rPr>
          <w:rFonts w:ascii="Times New Roman" w:cs="Times New Roman" w:eastAsia="Times New Roman" w:hAnsi="Times New Roman"/>
          <w:sz w:val="18"/>
          <w:szCs w:val="18"/>
          <w:color w:val="auto"/>
        </w:rPr>
        <w:t>”) contains provisions requiring that we indemnify our directors, officers, and executives against all costs, charges, losses, expenses, and liabilities incurred by them the execution of their duties or in relation thereto, and to advance expenses (including attorneys’ fees) incurred in defending any action, suit or proceeding for which indemnification would be allowed, all to the extent permissible under Singapore law and the A&amp;R Constitution. In addition, the Company has entered into an indemnification agreement with each of its directors and executive officers that provides for indemnification of that director and/or executive officer against certain claims that arise by reason of their status or service as a director or executive officer. The Company has purchased directors and officers liability insurance to cover its indemnification obligations to its directors and executive officers as well as to cover directly certain claims made against its directors and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Horizon Executive Officer and Director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aggregate cash compensation paid by Horizon to its executive officers and directors who, following the consummation of the Business Combination, also serve as executive officers and directors of the Company, for the year ended December 31, 2025, was S$0.95 million. This amount includes S$0.07 million set aside or accrued to provide pension, severance, retirement or similar benefits or expenses. 285,300 employee share options, covering 285,300 Company Class A Shares, were awarded by Horizon to the same individuals during the year ended December 31, 2025. Such options have an exercise price of S$16.07 per share and an expiration date of August 15, 2035.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will comply with home country compensation disclosure requirements and certain exemptions thereunder rather than the SEC disclosure requirements applicable to U.S. domestic issuers. Under Singapore law, Horizon is not required to disclose compensation paid to its executive officers and directors on an individual basis and this information has not otherwise been publicly disclosed.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policies of the Company with respect to the compensation of its executive officers and directors following the Business Combination are administered by our Board in consultation with the compensation committee of the Board. The compensation decisions regarding our executives will be based on our need to retain those individuals who continue to perform at or above our expectations and to attract individuals with the skills necessary for us to achieve our business plan. We intend to establish an executive compensation program that is competitive with other similarly situated companies in our industry.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performance-based and equity-based compensation are an important foundation in executive compensation packages. We believe that performance-based and equity-based compensation can be an important component of the total executive compensation package for maximizing shareholder value while, at the same time, attracting, motivating and retaining high-quality executives.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executive officers receive a combination of cash and equity-based compensation. Our compensation committee is charged with performing an annual review of our cash and equity-based compensation programs to determine whether such programs provide appropriate incentives to our executive officers, including whether such incentives are aligned with those provided to similarly situated executive officers in its industry. In addition to the guidance provided by its compensation committee, we may utilize the services of third parties from time to time in connection with the hiring and compensation awarded to executive employees. This could include subscriptions to executive compensation surveys and other databases.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employment agreements with our Chief Executive Officer, Chief Financial Officer, and our Chief Legal and Compliance Officer, EVP of Strategic Initiatives and Company Secretary, which agreements include confidentiality and non-disclosure restrictions and non-competition and non-solicitation restrictions that apply during employment and for certain periods following a termination of employment. This summary is qualified in its entirety by the Form of Singapore Executive Officer Employment Agreement and Form of Irish Executive Officer Employment Agreement, which are included as Exhibits 4.10 and 4.14 to this prospectus,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Incentive Plan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have adopted the Horizon Quantum Holdings Ltd. 2026 Equity Incentive Plan, which is referred to in this prospectus as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 The purpose of the 2026 Plan is to enhance our ability to attract, retain and motivate persons who make important contributions to us by providing these individuals with equity ownership opportunities and/or equity-linked compensatory opportunities. Equity awards and equity-linked compensatory opportunities are intended to assist in further aligning the interests of directors, employees, and consultants with those of our shareholders. The Plan Administrator may grant awards to any of our or our subsidiaries’ directors, employees or consultants. Only employees are eligible to receive incentive share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Terms of the 2026 Plan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 2026 Plan are summarized below; however, the summary is qualified in its entirety by reference to the full text of the 2026 Plan, which is included as Exhibit 4.9 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2026 Plan will be administered by the Board or one more committees or subcommittees of the Board, which will be comprised, unless otherwise determined by the Board, solely of not less than two members who will be non-employee directors (a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or any officer that has been delegated administrative authority pursuant to the 2026 Plan for the duration such delegation is in effect (collectively, the “</w:t>
      </w:r>
      <w:r>
        <w:rPr>
          <w:rFonts w:ascii="Times New Roman" w:cs="Times New Roman" w:eastAsia="Times New Roman" w:hAnsi="Times New Roman"/>
          <w:sz w:val="18"/>
          <w:szCs w:val="18"/>
          <w:b w:val="1"/>
          <w:bCs w:val="1"/>
          <w:color w:val="auto"/>
        </w:rPr>
        <w:t>Plan Administrator</w:t>
      </w:r>
      <w:r>
        <w:rPr>
          <w:rFonts w:ascii="Times New Roman" w:cs="Times New Roman" w:eastAsia="Times New Roman" w:hAnsi="Times New Roman"/>
          <w:sz w:val="18"/>
          <w:szCs w:val="18"/>
          <w:color w:val="auto"/>
        </w:rPr>
        <w:t>”). The Plan Administrator will have full power to (i) designate participants; (ii) determine the type or types of awards to be granted to a participant; (iii) determine the number of shares to be covered by, or with respect to which payments, rights, or other matters are to be calculated in connection with, awards;</w:t>
      </w:r>
    </w:p>
    <w:p>
      <w:pPr>
        <w:spacing w:after="0" w:line="3" w:lineRule="exact"/>
        <w:rPr>
          <w:sz w:val="20"/>
          <w:szCs w:val="20"/>
          <w:color w:val="auto"/>
        </w:rPr>
      </w:pPr>
    </w:p>
    <w:p>
      <w:pPr>
        <w:jc w:val="both"/>
        <w:ind w:firstLine="8"/>
        <w:spacing w:after="0" w:line="251" w:lineRule="auto"/>
        <w:tabs>
          <w:tab w:leader="none" w:pos="3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the delivery of cash, shares, other securities, other awards or other property and other amounts payable with respect to an award shall be made; (vii) interpret, administer, reconcile any inconsistency in, settle any controversy regarding, correct any defect in and/or complete any omission in the 2026 Plan and any instrument or agreement relating to, or award granted under, the 2026 Plan; (viii) establish, amend, suspend, or waive any rules and regulations and appoint such agents as the Plan Administrator shall deem appropriate for the proper administration of the 2026 Plan; (ix) accelerate the vesting or exercisability of, payment for or lapse of restrictions on, awards; (x) to reprice existing awards or to grant awards in connection with or in consideration of the cancellation of an outstanding award with a higher price; and (xi) make any other determination and take any other action that the Plan Administrator deems necessary or desirable for the administration of the 2026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maximum aggregate number of Company Class A Shares that may be issued under the 2026 Plan is the sum of (A) ten percent (10%) of the sum of (x) the total number of Company Shares issued and outstanding immediately after the Closing, plus (y) the total number of Company Shares issuable upon conversion, exercise, or exchange of convertible, exercisable, or exchangeable securities outstanding immediately after the Closing, plus</w:t>
      </w:r>
    </w:p>
    <w:p>
      <w:pPr>
        <w:spacing w:after="0" w:line="1" w:lineRule="exact"/>
        <w:rPr>
          <w:sz w:val="20"/>
          <w:szCs w:val="20"/>
          <w:color w:val="auto"/>
        </w:rPr>
      </w:pPr>
    </w:p>
    <w:p>
      <w:pPr>
        <w:jc w:val="both"/>
        <w:ind w:firstLine="8"/>
        <w:spacing w:after="0" w:line="255" w:lineRule="auto"/>
        <w:tabs>
          <w:tab w:leader="none" w:pos="29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commencing on January 1, 2026 and continuing annually on each anniversary thereof through and including January 1, 2035, equal to the lesser of (i) five percent (5%) of the shares available for issuance under the 2026 Plan as of the last day of the immediately preceding calendar year and (ii) such smaller number of shares as determined by the Board or the Committee.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Ten percent (10%) of the sum of (x) the total number of Company Shares issued and outstanding immediately after the Closing, plus (y) the total number of Company Shares issuable upon conversion, exercise, or exchange of convertible, exercisable, or exchangeable securities outstanding immediately after the Closing may be issued upon the exercise of incentive share options.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Shares issuable under the 2026 Plan may be newly issued or repurchased shares. Upon payment in shares pursuant to the exercise or settlement of an award, the number of shares available for issuance under the 2026 Plan shall be reduced only by the number of shares actually issued in such payment. If a participant pays the exercise price (or purchase price, if applicable) of an award through the tender of shares, or if the shares are tendered or withheld to satisfy any tax withholding obligations, the number of shares so tendered or withheld shall again be available for issuance pursuant to future Awards under the 2026 Plan, although such shares shall not again become available for issuance as incentive share options. Shares shall not be deemed to have been issued pursuant to the 2026 Plan with respect to any portion of an award that is settled in cash. Shares underlying any awards under the 2026 Plan that are settled in cash, forfeited, canceled, repurchased, held back upon exercise of an option or settlement of an award to cover the exercise price or tax withholding satisfied without the issuance of shares or otherwise terminated (other than by exercise) will be added back to the shares available for issuance under the 2026 Plan, although shares shall not again become available for issuance as incentive share options. Additionally, shares issued as “substitute awards” (as defined in the 2026 Plan) will not count against the 2026 Plan’s share limit.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share reserve described herein may be subject to certain adjustments in the event of certain changes in the capitalization of the Company (see “</w:t>
      </w:r>
      <w:r>
        <w:rPr>
          <w:rFonts w:ascii="Times New Roman" w:cs="Times New Roman" w:eastAsia="Times New Roman" w:hAnsi="Times New Roman"/>
          <w:sz w:val="18"/>
          <w:szCs w:val="18"/>
          <w:i w:val="1"/>
          <w:iCs w:val="1"/>
          <w:color w:val="auto"/>
        </w:rPr>
        <w:t>Equitable Adjustments</w:t>
      </w:r>
      <w:r>
        <w:rPr>
          <w:rFonts w:ascii="Times New Roman" w:cs="Times New Roman" w:eastAsia="Times New Roman" w:hAnsi="Times New Roman"/>
          <w:sz w:val="18"/>
          <w:szCs w:val="18"/>
          <w:color w:val="auto"/>
        </w:rPr>
        <w: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Limitation on Awards to Non-Employee Directors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Plan contains a limitation whereby the value of all awards under the 2026 Plan and all other cash compensation paid by the Company to any non-employee director may not exceed $1,000,000 for the first calendar year a non-employee director is initially appointed to the Board, and $750,000 in any other calendar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2026 Plan provides for the grant of share options, share appreciation rights, restricted shares, restricted share units, performance awards, dividend equivalent awards, and other share- or cash-based awards (collectively,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The 2026 Plan permits the granting of both options intended to qualify as incentive share options under Section 422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options that do not so qualify. Options granted under the 2026 Plan will be nonqualified options if they fail to qualify as incentive share options or exceed the annual limit on incentive share options. Incentive share options may only be granted to employees of the Company and its subsidiaries. Nonqualified options may be granted to any persons eligible to receive awards under the 2026 Plan.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each option will be determined by the Plan Administrator, but such exercise price may not be less than 100% of the fair market value of one Company Class A Ordinary Share on the date of grant if the grant could result in adverse tax consequences or, in the case of an incentive share option granted to a 10% or greater shareholder, 110% of such share’s fair market value. The term of each option will be set by the Plan Administrator and may not exceed ten (10) years after the date it is granted to any employee of the Company or its related corporations (as defined in the Singapore Companies Act) (or five (5) years for an incentive share option granted to a 10% or greater shareholder, or five (5) years after the date any option is granted to any other participant). The Plan Administrator will determine at what time or times each option may be exercised, including the ability to accelerate the vesting of such options.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exercise of an option, the exercise price must be paid in full either in cash, check or, with approval of the Plan Administrator, by surrender of other shares that meet the conditions established by the Plan Administrator to avoid adverse accounting consequences to the Company, by broker-assisted cashless exercise, by delivery of a notice of “net exercise” to the Company, such other consideration and method of payment to the extent permitted by applicable law, or any combination of the foregoing methods of payment.</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The Plan Administrator may award share appreciation rights subject to such conditions and restrictions as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Share appreciation rights entitle the recipient to shares or cash, equal to the value of the appreciation in the Company’s share price over the exercise price, as set by the Plan Administrator and which will be at least equal to the fair market value of one Company Class A Ordinary Share on the grant date. The term of each share appreciation right will be set by the Plan Administrator and may not exceed ten years from the date of grant. The Plan Administrator will determine at what time or times each share appreciation right may be exercised, including the ability to accelerate the vesting of such share appreciation rights.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is an award of shares that vest in accordance with the terms and conditions established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Plan Administrator will determine the persons to whom grants of restricted share awards are made, the number of restricted shares to be awarded, the price (if any) to be paid for the restricted shares, the time or times within which awards of restricted shares may be subject to forfeiture, the vesting schedule and rights to acceleration thereof, and all other terms and conditions of restricted share awards. Unless otherwise provided in the applicable award agreement, a participant generally will have the rights and privileges of a shareholder as to such restricted shares, including without limitation the right to vote such restricted shares and the right to receive cash dividends, if applicable.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7" w:name="page128"/>
    <w:bookmarkEnd w:id="127"/>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Restricted share units are the right to receive shares at a future date in accordance with the terms of such grant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attainment of certain conditions specified by the Plan Administrator. Restrictions or conditions could include, but are not limited to, the attainment of performance goals, continuous service with the Company or its subsidiaries, the passage of time or other restrictions or conditions. The Plan Administrator determines the persons to whom grants of restricted share units are made, the number of restricted share units to be awarded, the time or times within which awards of restricted share units may be subject to forfeiture, the vesting schedule, and rights to acceleration thereof, and all other terms and conditions of the restricted share unit awards. The value of the restricted share units may be paid in shares, cash, other securities, other property, or a combination of the foregoing, as determined by the Plan Administrator.</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restricted share units will have no voting rights. Prior to settlement or forfeiture, restricted share units awarded under the 2026 Plan may, at the Plan Administrator’s discretion, provide for a right to dividend equivalents.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Plan Administrator has the authority to grant share options, share appreciation rights, restricted shares, or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units as a performance award, which means that such awards vest at least in part upon the attainment of one or more specified performance criteria. For each performance period, the Plan Administrator will have the sole authority to select the length of such performance period, the types of performance award to be granted, the performance criteria that will be used to establish the performance goals, and the level(s) of performance which shall result in a performance award being earned. At any time, the Plan Administrator may adjust or modify the calculation of a performance goal for a performance period, to appropriately reflect any circumstance or event that occurs during a performance period and that in the Plan Administrator’s sole discretion, warrants adjustment or modification. Depending on the type of performance award granted, the previously discussed terms and conditions will also apply to a performance award.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Performance criteria for a performance award may be based on the attainment of specific levels of performance of the Company (and/or one or more subsidiaries, divisions, business segments or operational units, or any combination of the foregoing) and may include, without limitation, any of the following: (i) net earnings or net income (before or after taxes); (ii) basic or diluted earnings per share (before or after taxes); (iii) revenue or revenue growth (measured on a net or gross basis);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 (xiv) margins; (xv) productivity and operating efficiencies; (xvi) customer satisfaction; (xvii) customer growth; (xviii) working capital targets;</w:t>
      </w:r>
    </w:p>
    <w:p>
      <w:pPr>
        <w:spacing w:after="0" w:line="6" w:lineRule="exact"/>
        <w:rPr>
          <w:sz w:val="20"/>
          <w:szCs w:val="20"/>
          <w:color w:val="auto"/>
        </w:rPr>
      </w:pPr>
    </w:p>
    <w:p>
      <w:pPr>
        <w:ind w:left="400" w:hanging="392"/>
        <w:spacing w:after="0"/>
        <w:tabs>
          <w:tab w:leader="none" w:pos="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of economic value added; (xx) inventory control; (xxi) enterprise value; (xxii) sales; (xxiii) debt levels and net debt; (xxiv) combined ratio;</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4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launch of new facilities; (xxvi) client retention; (xxvii) employee retention; (xxviii) timely completion of new product rollouts; (xxix) cost targets; (xxx) reductions and savings; (xxxi) productivity and efficiencies; (xxxii) strategic partnerships or transactions; and (xxxiii) personal targets, goals or completion of projects. Any one or more of the performance criteria may be used on an absolute or relative basis to measure the performance of the Company and/or one or more subsidiaries as a whole or any business unit(s) of the Company and/or one or more subsidiaries or any combination thereof, or any of the above performance criteria may be compared to the performance of a selected group of comparison or peer companies, or a published or special index that the Plan Administrator deems appropriate, or as compared to various stock market indices.</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An award of dividend equivalents entitles the holder to be credited with an amount equal to all dividends paid on one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holder’s tandem award is outstanding. Dividend equivalents may be paid currently or credited to an account for the participant, settled in cash or shares, and subject to the same restriction on transferability and forfeitability as the award with respect to which the dividend equivalents are granted.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Share- or Cash-Based Awards. </w:t>
      </w:r>
      <w:r>
        <w:rPr>
          <w:rFonts w:ascii="Times New Roman" w:cs="Times New Roman" w:eastAsia="Times New Roman" w:hAnsi="Times New Roman"/>
          <w:sz w:val="18"/>
          <w:szCs w:val="18"/>
          <w:color w:val="auto"/>
        </w:rPr>
        <w:t>Other share-based awards may be granted either alone, in addition to, or in tandem with, other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2026 Plan and/or cash awards made outside of the 2026 Plan. The Plan Administrator shall have authority to determine the service providers to whom and the time or times at which other share-based awards shall be made, the amount of such other share-based awards, and all other conditions of the other share-based awards including any dividend and/or voting rights. The Plan Administrator may grant cash awards in such amounts and subject to such performance or other vesting criteria and terms and conditions as the Plan Administrator may determine.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i w:val="1"/>
          <w:iCs w:val="1"/>
          <w:color w:val="auto"/>
        </w:rPr>
        <w:t>Repricing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the 2026 Plan, unless a repricing is approved by shareholders, in no case may the Plan Administrator</w:t>
      </w:r>
    </w:p>
    <w:p>
      <w:pPr>
        <w:spacing w:after="0" w:line="27" w:lineRule="exact"/>
        <w:rPr>
          <w:sz w:val="20"/>
          <w:szCs w:val="20"/>
          <w:color w:val="auto"/>
        </w:rPr>
      </w:pPr>
    </w:p>
    <w:p>
      <w:pPr>
        <w:jc w:val="both"/>
        <w:ind w:firstLine="8"/>
        <w:spacing w:after="0" w:line="253" w:lineRule="auto"/>
        <w:tabs>
          <w:tab w:leader="none" w:pos="2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 outstanding option or share appreciation right to reduce the exercise price of the award, (ii) cancel, exchange, or surrender an outstanding option or share appreciation right in exchange for cash or other awards for the purpose of repricing the award, or (iii) cancel, exchange, or surrender an outstanding option or share appreciation right in exchange for an option or share appreciation right with an exercise price that is less than the exercise price of the original award.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2026 Plan are responsible for the payment of any federal, state, or local taxes that the Company or its subsidiaries are required by law to withhold upon the exercise of options or share appreciation rights or vesting of other awards. Without limitation, the Plan Administrator may, in its sole discretion, permit a participant to satisfy, in whole or in part, the foregoing withholding liability by (A) the delivery of shares (which are not subject to any pledge or other security interest) owned by the participant having a fair market value equal to such withholding liability, (B) having the Company withhold from the number of shares otherwise issuable or deliverable pursuant to the exercise or settlement of the award a number of shares with a fair market value equal to such withholding liability, (C) deducting an amount sufficient to satisfy such withholding obligation from any payment of any kind otherwise due to a participant, (D) accepting a payment from the participant in cash, by wire transfer of immediately available funds, or by check made payable to the order of the Company, or (E) if there is a public market for shares at the time the withholding obligation for a tax obligation is to be satisfied, selling shares issued pursuant to the award creating the withholding obligation. The amount withheld pursuant to any of the foregoing payment forms will be determined by the Company and may be up to (but not in excess of) the aggregate amount of such obligations based on the maximum statutory withholding rates in the participant’s jurisdiction for all tax obligations that are applicable to such taxable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merger, consolidation, recapitalization, share split, reverse share split, reorganization, split-up, spin-off, combination, repurchase or other change in corporate structure affecting the shares, the Plan Administrator will adjust (i) the number and class of shares which may be delivered under the 2026 Plan (or number and kind of other securities or other property); (ii) the number, class and price (including the exercise or strike price of options and share appreciation rights) of shares subject to outstanding awards, (iii) any applicable performance criteria, performance period, and other terms and conditions of outstanding performance awards, and (iv) the 2026 Plan’s numerical limits.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change in control (as defined in the 2026 Plan), each outstanding Award shall be assumed or an equivalent award substituted by the acquiring or successor corporation or a parent of the acquiring or successor corporation. Unless determined otherwise by the Administrator, in the event that the successor corporation refuses to assume or substitute an Award, (A) the participant shall fully vest in and have the right to exercise the Award as to all of the shares, including those as to which it would not otherwise be vested or exercisable; (B) all applicable restrictions will lapse; and (C) all performance objectives and other vesting criteria will be deemed achieved at targeted levels. If an Option or SAR is not assumed or substituted in the event of a change in control, the Administrator shall notify the participant in writing or electronically that the Option or SAR shall be exercisable, to the extent vested, for a period of up to fifteen (15) days from the date of such notice, and the Option or SAR shall terminate upon the expiration of such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 of Awards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determined otherwise by the Plan Administrator, an award may not be sold, pledged, assigned, hypothecated, transferred, or disposed of in any manner, except to a participant’s estate or legal representative, and may be exercised, during the lifetime of the participant, only by the participant.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Plan became effective upon the Closing, and, unless terminated earlier, the 2026 Plan will continue in effect for a term of ten (10)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may amend, alter, suspend or terminate the 2026 Plan at any time. No amendment or termination of the 2026 Plan will materially impair the rights of any participant, unless mutually agreed otherwise between the participant and the Company. Approval of the shareholders shall be required for any amendment, where required by applicable law, as well as (i) to increase the number of shares available for issuance under the 2026 Plan and (ii) to change the persons or class of persons eligible to receive awards under the 2026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Recoupment Policy</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awards granted under the 2026 Plan, all amounts paid under the 2026 Plan, and all shares issued under the 2026 Plan shall be subject to reduction, recoupment, clawback, or recovery by the Company in accordance with applicable laws and with company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S-8</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file a registration statement on Form S-8 with the SEC covering the shares issuable under the 2026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United States Federal Income Tax Considerations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material U.S. federal income tax considerations related to awards and certain transactions under the 2026 Plan, based upon the current provisions of the Code and regulations promulgated thereunder. This summary deals with the general federal income tax principles that apply and is provided only for general information. It does not describe all federal tax consequences under the 2026 Plan, nor does it describe state, local, or foreign income tax consequences or federal employment tax consequences.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is not intended as tax advice to participants, who should consult their own tax advisors.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2026 Plan is not qualified under the provisions of Section 401(a) of the Code and is not subject to any of the provisions of the Employee Retirement Income Security Act of 1974, as amended. The Company’s ability to realize the benefit of any tax deductions described below depends on the Company’s generation of taxable income as well as the requirement of reasonableness and the satisfaction of the Company’s tax reporting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0" w:name="page131"/>
    <w:bookmarkEnd w:id="130"/>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Incentive Share Options. </w:t>
      </w:r>
      <w:r>
        <w:rPr>
          <w:rFonts w:ascii="Times New Roman" w:cs="Times New Roman" w:eastAsia="Times New Roman" w:hAnsi="Times New Roman"/>
          <w:sz w:val="18"/>
          <w:szCs w:val="18"/>
          <w:color w:val="auto"/>
        </w:rPr>
        <w:t>No taxable income is generally realized by the optionee upon the grant or exercise of an incentive share option. If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an optionee pursuant to the exercise of an incentive share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neither the Company nor its subsidiaries will be entitled to any deduction for federal income tax purposes; provided that such incentive share option otherwise meets all of the technical requirements of an incentive share option. The exercise of an incentive share option will give rise to an item of tax preference that may result in alternative minimum tax liability for the optionee.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shares acquired upon the exercise of an incentive share option are disposed of prior to the expiration of the two-year and one-year holding periods described above (a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generally (i) the optionee will realize ordinary income in the year of disposition in an amount equal to the excess (if any) of the fair market value of the Company Class A Shares at exercise (or, if less, the amount realized on a sale of such Shares) over the option exercise price thereof, and (ii) the Company or its subsidiaries will be entitled to deduct such amount. Special rules will apply where all or a portion of the exercise price of the incentive share option is paid by tendering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incentive share option is exercised at a time when it no longer qualifies for the tax treatment described above, the option is treated as a nonqualified option. Generally, an incentive share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 granted. Generally, (i) at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is realized by the optionee in an amount equal to the difference between the option exercise price and the fair market value of the Company Class A Shares issued on the date of exercise, and the Company or its subsidiaries receive a tax deduction for the same amount, and (ii) at disposition, appreciation or depreciation after the date of exercise is treated as either short-term or long-term capital gain or loss depending on how long the shares have been held. Special rules will apply where all or a portion of the exercise price of the nonqualified option is paid by tendering shares. Upon exercise, the optionee will also be subject to Social Security taxes on the excess of the fair market value of the Company Class A Shares over the exercise price of the option.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Restricted Shares, Restricted Share Units, Dividend Equivalent Awards and Other Share- and Cash-Based Awards.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federal income tax consequences of other awards authorized under the 2026 Plan generally follow certain basic patterns: (i) share appreciation rights are taxed and deductible in substantially the same manner as nonqualified options; (ii) nontransferable restricted shares subject to a substantial risk of forfeiture results in income recognition equal to the excess of the fair market value of the Company Class A Shares over the price paid, if any, only at the time the restrictions lapse (unless the recipient elects to accelerate recognition as of the date of grant through a Section 83(b) election); and (iii) restricted share units, dividend equivalents, and other share- or cash-based awards are generally subject to tax at the time of payment. The Company or its subsidiaries generally should be entitled to a federal income tax deduction in an amount equal to the ordinary income recognized by the participant at the time the participant recognizes such income.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participant’s basis for the determination of gain or loss upon the subsequent disposition of shares acquired from a share appreciation right, restricted shares, restricted share unit, dividend equivalent award, or other share-based award will be the amount paid for such shares plus any ordinary income recognized when the shares were originally delivered, and the participant’s capital gain holding period for those shares will begin on the day after they are transferred to the participant.</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The tax consequences of performance awards will generally mirror those of the underlying award type, each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1" w:name="page132"/>
    <w:bookmarkEnd w:id="131"/>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Parachute Payments. </w:t>
      </w:r>
      <w:r>
        <w:rPr>
          <w:rFonts w:ascii="Times New Roman" w:cs="Times New Roman" w:eastAsia="Times New Roman" w:hAnsi="Times New Roman"/>
          <w:sz w:val="18"/>
          <w:szCs w:val="18"/>
          <w:color w:val="auto"/>
        </w:rPr>
        <w:t>The vesting of any portion of an award that is accelerated due to the occurrence of a change in control (such as a sale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cause all or a portion of the payments with respect to such accelerated awards to be treated as “parachute payments” as defined in the Code. Any such parachute payments may be non-deductible to either the Company or its subsidiaries,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The foregoing description assumes that Section 409A of the Code does not apply to an award under the 2026 Plan. In general,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share appreciation rights are exempt from Section 409A if the exercise price per share is at least equal to the fair market value per share of the underlying shares at the time the option or share appreciation right was granted. Restricted share awards are not generally subject to Section 409A. Restricted share units are subject to Section 409A unless they are settled within two and one-half months after the end of the later of (1) the end of the Company’s fiscal year in which vesting occurs or (2) the end of the calendar year in which vesting occurs.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federal tax and premium interest in addition to the federal income tax at the participant’s usual marginal rate for ordinary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Employee Share Purchase Plan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and our stockholders have approved and adopted the Horizon Quantum Holdings Ltd. 2026 Employee Share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The following summary describes the material terms of the ESPP; however, the summary is qualified in its entirety by reference to the full text of the ESPP, which is included as Exhibit 4.10 to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ESPP will provide our employees and employees of participating subsidiaries with an opportunity to acquire a proprietary interest in the Company through the purchase of Company Class A Shares. The ESPP has two components — one which is intended to qualify as an “employee stock purchase plan” under Section 423 of the Code and one which is not intended to so qualify.</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initial maximum aggregate number of shares that may be purchased under the ESPP will be equal to one and one-half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of the sum of (x) the total number of Company Shares issued and outstanding immediately after the Closing, plus (y) the total number of Company Shares issuable upon conversion, exercise, or exchange of convertible, exercisable, or exchangeable securities outstanding immediately after the Closing, which shall increase on January 1 of each of 2026 through 2035, by the lesser of (i) one percent (1%) of the shares available for issuance under the ESPP as of the last day of the immediately preceding calendar year, and (ii) such lesser number of shares as determined by the Board (collectively, the “</w:t>
      </w:r>
      <w:r>
        <w:rPr>
          <w:rFonts w:ascii="Times New Roman" w:cs="Times New Roman" w:eastAsia="Times New Roman" w:hAnsi="Times New Roman"/>
          <w:sz w:val="18"/>
          <w:szCs w:val="18"/>
          <w:b w:val="1"/>
          <w:bCs w:val="1"/>
          <w:color w:val="auto"/>
        </w:rPr>
        <w:t>ESPP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18"/>
          <w:szCs w:val="18"/>
          <w:color w:val="auto"/>
        </w:rPr>
        <w:t>”). Provided, subject to adjustment as discussed below, the share reserve can be no more than 50,000,000 Company Shares.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Board or a committee appointed by the Board will administer the ESPP subject to the terms and conditions of the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Administrator</w:t>
      </w:r>
      <w:r>
        <w:rPr>
          <w:rFonts w:ascii="Times New Roman" w:cs="Times New Roman" w:eastAsia="Times New Roman" w:hAnsi="Times New Roman"/>
          <w:sz w:val="18"/>
          <w:szCs w:val="18"/>
          <w:color w:val="auto"/>
        </w:rPr>
        <w:t>”). Among other things, the ESPP Administrator will have the authority to (i) make rules and regulations for the administration of the ESPP; (ii) interpret the terms and provisions of the ESPP; (iii) make all determinations it deems advisable for the administration of the ESPP; (iv) decide all disputes arising in connection with the ESPP; and (v) otherwise supervise the administration of the ESPP.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ESPP generally include any employee who is employed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its subsidiaries at the beginning of the applicable offering period. However, any employee who owns (or is deemed to own as a result of attribution) 5% or more of the total combined voting power or value of all classes of the Company’s capital shares, or the capital shares of one of the Company’s qualifying subsidiaries in the future, or who will own such amount as a result of participation in the ESPP, will not be eligible to participate in the ESPP. The ESPP Administrator may impose additional restrictions on eligibility from time to time as set forth in the ESPP.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2" w:name="page133"/>
    <w:bookmarkEnd w:id="132"/>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Offering Periods; Enrollment. </w:t>
      </w:r>
      <w:r>
        <w:rPr>
          <w:rFonts w:ascii="Times New Roman" w:cs="Times New Roman" w:eastAsia="Times New Roman" w:hAnsi="Times New Roman"/>
          <w:sz w:val="18"/>
          <w:szCs w:val="18"/>
          <w:color w:val="auto"/>
        </w:rPr>
        <w:t>Under the ESPP, eligible employees will be offered the option to purchase Company Class A Shares at a discount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series of offering periods. the Company shall make one or more offerings to employees to subscribe for or purchase shares under the ESPP. Offerings shall begin at such time and on such dates as the ESPP Administrator shall determine, or the first business day thereafter. Each offering commencement date shall begin a six (6)-month plan period (the “</w:t>
      </w:r>
      <w:r>
        <w:rPr>
          <w:rFonts w:ascii="Times New Roman" w:cs="Times New Roman" w:eastAsia="Times New Roman" w:hAnsi="Times New Roman"/>
          <w:sz w:val="18"/>
          <w:szCs w:val="18"/>
          <w:b w:val="1"/>
          <w:bCs w:val="1"/>
          <w:color w:val="auto"/>
        </w:rPr>
        <w:t>Plan Period</w:t>
      </w:r>
      <w:r>
        <w:rPr>
          <w:rFonts w:ascii="Times New Roman" w:cs="Times New Roman" w:eastAsia="Times New Roman" w:hAnsi="Times New Roman"/>
          <w:sz w:val="18"/>
          <w:szCs w:val="18"/>
          <w:color w:val="auto"/>
        </w:rPr>
        <w:t>”) during which payroll deductions shall be made and held for the purchase of shares at the end of the Plan Period. However, the ESPP Administrator may, at its discretion, choose a different Plan Period of not more than twelve</w:t>
      </w:r>
    </w:p>
    <w:p>
      <w:pPr>
        <w:spacing w:after="0" w:line="1" w:lineRule="exact"/>
        <w:rPr>
          <w:sz w:val="20"/>
          <w:szCs w:val="20"/>
          <w:color w:val="auto"/>
        </w:rPr>
      </w:pPr>
    </w:p>
    <w:p>
      <w:pPr>
        <w:jc w:val="both"/>
        <w:ind w:firstLine="8"/>
        <w:spacing w:after="0" w:line="253" w:lineRule="auto"/>
        <w:tabs>
          <w:tab w:leader="none" w:pos="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for offerings. New participants may enroll by submitting an enrollment form prior to the start of an offering period. Once an employee is enrolled, participation will be automatic in subsequent offering periods. An employee’s participation automatically ends upon a termination of employment for any reason, and an employee may withdraw from an offering period at any time without affecting his or her eligibility to participate in future offering periods.</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Offerings; payroll deductions. </w:t>
      </w:r>
      <w:r>
        <w:rPr>
          <w:rFonts w:ascii="Times New Roman" w:cs="Times New Roman" w:eastAsia="Times New Roman" w:hAnsi="Times New Roman"/>
          <w:sz w:val="17"/>
          <w:szCs w:val="17"/>
          <w:color w:val="auto"/>
        </w:rPr>
        <w:t>Under the ESPP, eligible employees will be offered the option to purchase Company Class A Shares at a discount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a series of offering periods by accumulating funds through payroll deductions of between one percent (1%) and fifteen percent (15%) of the employee’s compensation. Unless otherwise determined by the ESPP Administrator, the purchase price for shares purchased under the ESPP will be eighty-five percent (85%) of the lesser of the fair market value of the Company Class A Shares on (i) the first business day of the applicable offering period and</w:t>
      </w:r>
    </w:p>
    <w:p>
      <w:pPr>
        <w:spacing w:after="0" w:line="1" w:lineRule="exact"/>
        <w:rPr>
          <w:sz w:val="20"/>
          <w:szCs w:val="20"/>
          <w:color w:val="auto"/>
        </w:rPr>
      </w:pPr>
    </w:p>
    <w:p>
      <w:pPr>
        <w:jc w:val="both"/>
        <w:ind w:firstLine="8"/>
        <w:spacing w:after="0" w:line="252" w:lineRule="auto"/>
        <w:tabs>
          <w:tab w:leader="none" w:pos="2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purchase. However, no participant may purchase more than that number of shares equal to that whole number determined by multiplying $2,083 by the number of full months in the Plan Period divided by the closing price as published in the Wall Street Journal (or another source selected by the ESPP Administrator) on the offering commencement date. The ESPP Administrator, in its discretion, may set a lower maximum amount of shares which may be purchased. In addition, no participant will have the right to purchase shares in an amount, when aggregated with purchase rights under all of the Company’s employee share purchase plans that are also in effect in the same calendar years, that has a fair market value of more than $25,000, determined as of the first day of the applicable offering period, for each calendar year in which that right is outstanding.</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the number of shares that a participant purchases in each offering period is determined by dividing the total amount of payroll deductions withheld from the participant’s compensation during the offering period by the purchase price. In general, if an employee ceases to be a participant in the ESPP, the employee’s option to purchase shares under the ESPP will be automatically terminated, and the amount of the employee’s accumulated payroll deductions or other contributions will be refunded.</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Company Shares is changed by a share dividend, recapitalization, share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share split, subdivision, combination, reclassification, or similar change in our capital structure without consideration, then the ESPP Administrator will proportionately adjust the number and class of our ordinary shares that are available under the ESPP, the purchase price and number of shares any participant has elected to purchase under the ESPP, as well as the maximum number of shares which may be issued to participants under the ESPP.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Reorganization Events. </w:t>
      </w:r>
      <w:r>
        <w:rPr>
          <w:rFonts w:ascii="Times New Roman" w:cs="Times New Roman" w:eastAsia="Times New Roman" w:hAnsi="Times New Roman"/>
          <w:sz w:val="18"/>
          <w:szCs w:val="18"/>
          <w:color w:val="auto"/>
        </w:rPr>
        <w:t>If we experience a “reorganization event” (as defined in the ESPP), the ESPP Administrator may take any one or more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actions regarding options outstanding during an offering on such terms as the ESPP Administrator determines: (i) provide that options shall be assumed, or substantially equivalent options shall be substituted, by the acquiring or succeeding corporation (or an affiliate thereof), (ii) provide that all outstanding options shall be terminated immediately prior to the consummation of such reorganization event and that all such outstanding options shall become exercisable to the extent of accumulated payroll deductions as of a date specified by the ESPP Administrator, (iii) provide that all outstanding options will be cancelled as of a date prior to the effective date of the Reorganization Event and that all accumulated payroll deductions will be returned to participating employees on such date, (iv) change the last day of the offering period to be the date of the consummation of such Reorganization Event and make or provide for a cash payment to each employee, (v) provide that, in connection with a liquidation or dissolution of the Company, options will convert into the right to receive liquidation proceeds (net of the option price thereof), and (vi) any combination of the foregoing.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Rights under the ESPP are not transferable other than by will or the laws of descent and distribution.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Board may, at any time and from time to time, amend or suspend the ESPP or any portion thereof, except that (a)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any such amendment by the shareholders of the Company is required by Section 423 of the Code, such amendment will not be effected without such approval, and (b) in no event may any amendment be made that would cause the ESPP to fail to comply with Section 423 of the Code. The ESPP may be terminated at any time by the Board, and upon such termination, all amounts in the accounts of participating employees will be promptly refunded.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i w:val="1"/>
          <w:iCs w:val="1"/>
          <w:color w:val="auto"/>
        </w:rPr>
        <w:t>Federal Income Tax Information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summary of some of the material federal income tax consequences to participants in the ESPP under current federal tax laws. This summary deals with the general tax principles that apply and is provided only for general information. Certain types of taxes, such as state and local income taxes, are not discussed. Tax laws are complex and subject to change and may vary depending on individual circumstances and from locality to locality. The summary does not discuss all aspects of income taxation that may be relevant to a participant in light of his or her personal investment circumstances. This summarized tax information is not tax advice.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423 Component of the ESPP, and the right of participants to make purchases thereunder, is intended to qualify under the provisions of Section 423 of the Code. The ESPP is not subject to any provisions of the Employee Retirement Income Security Act of 1974.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the 423 Component qualifies under the Code, no taxable income will be recognized by a participant, and no deductions will be allowable to the Company, upon either the grant or the exercise of the purchase rights. Taxable income will not be recognized until there is a sale or other disposition of the shares acquired under the ESPP or in the event the participant should die while still owning the purchased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participant sells or otherwise disposes of the purchased shares within two years after the start date of the offering period in which such shares were acquired or within one year after the purchase date of those shares, then the participant will recognize ordinary income in the year of sale or disposition equal to the amount by which the fair market value of the shares on the purchase date exceeded the purchase price paid for those shares, and the Company will be entitled to an income tax deduction, for the taxable year in which such sale or disposition occurs, equal in amount to such excess.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participant sells or disposes of the purchased shares more than two years after the start date of the offering period in which the shares were acquired and more than one year after the purchase date of those shares, then the participant will recognize ordinary income in the year of sale or disposition equal to the lesser of (i) the amount by which the fair market value of the shares on the sale or disposition date exceeded the purchase price paid for those shares or (ii) 15 percent (or such other discount determined by the ESPP Administrator, but not more than 15 percent) of the fair market value of the shares on the start date of that offering period, and any additional gain upon the disposition will be taxed as a long-term capital gain. The Company will not be entitled to an income tax deduction with respect to such sale or disposition.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participant still owns the purchased shares at the time of death, then the participant will recognize ordinary income at such time equal to the lesser of (i) the amount by which the fair market value of the shares on the date of death exceeds the purchase price or (ii) 15 percent (or such other discount determined by the ESPP Administrator, but not more than 15 percent) of the fair market value of the shares on the start date of the offering period in which those shares were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Horizon had a 44 person-strong team. Approximately 55% of full-time employees are based in Singapore and approximately 30% of full-time employees are based in Dublin, Ireland. Horizon also engages a small number of independent contractors and staff hired through employer of record service providers (approximately 15%) to supplement its workforce. A majority of Horizon’s employees are engaged in research and development and related functions, and a significant portion of its research and development employees hold advanced engineering and scientific degrees, including many from the world’s top universities.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date, Horizon has not experienced any work stoppages, and none of its employees are subject to a collective bargaining agreement or represented by a labor union.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our securities are listed on Nasdaq, we will adhere to the rules of Nasdaq in determining whether a director is independent. The Board has undertaken a review of the independence of the members of the Board and determined that Harry You, Danielle Lambert, and Jill Turner qualify as “independent” as defined under the applicable Nasdaq rules.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Nasdaq definition of “independence” includes a series of objective tests, such as the director or director nominee is not, and was not during the last three years, an employee of the Company and has not received certain payments from, or engaged in various types of business dealings with, the Company. In addition, as further required by the Nasdaq Listing Rules, the Board will make a subjective determination as to each director nominee’s independence and expects to determine that no relationships exist which, in the opinion of the Board, would interfere with such individual’s exercise of independent judgment in carrying out his or her responsibilities as a director. In making these determinations, the Board reviews and discusses information provided by the directors with regard to each director’s business and personal activities as they may relate to the Company and its management.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is currently comprised of a majority of “independent directors” as defined in the rules of Nasdaq and applicable SEC rules.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Dr. Fitzsimons holds approximately 65.0% of the voting power of our voting securities for the election of directors. As a result, we are a controlled company within the meaning of the Nasdaq rules and we may qualify for exemptions from certain corporate governance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Nasdaq rules, a controlled company is exempt from certain corporate governance requirements, including:</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if a listed company has a nominating and governance committee, it be composed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listed company have a compensation committee that is composed entirely of independent directors with a written charter addressing the committee’s purpose and responsibilities;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governance committee, if applicable, and compensation committee.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Controlled companies must comply with Nasdaq’s other corporate governance standards. These include having and audit committee and the special meetings of independent or non-management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qualify as a “controlled company,” we do not currently to rely on these exemptions and intend to fully comply with all corporate governance requirements under the listing standards of Nasdaq. However, if we were to utilize some or all of these exemptions, we would not comply with certain of the corporate governance standards of Nasdaq, which could adversely affect the protections for other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committee and a nominating and corporate governance committee. The composition and responsibilities of each of the committees of the Board are described below. Members serve on these committees until their resignation or until otherwise determined by the Board. We may establish other committees as we deem necessary or appropriate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currently consists of Harry You (Chair), Danielle Lambert, and Jill Turner. The Board has determined that all of the members of the audit committee qualify as “independent” under Nasdaq listing standards and Rule 10A-3(b)(1) of the Exchange Act, and that Harry You qualifies as an “audit committee financial expert” within the meaning of SEC regulations. Each member of the audit committee is able to read and understand fundamental financial statements in accordance with applicable requirements. In arriving at these determinations, the Board examined each audit committee member’s scope of experience and the nature of their employment.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176"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consolidated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currently consists of Jill Turner (Chair) and Danielle Lambert. The Board has determined that all members of the compensation committee qualify as “independent” under the Nasdaq listing standards and as “non-employee directors” as defined in Rule 16b-3 promulgated under the Exchange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17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chief executive officer, other executive officers and senior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employees, including the overall compensation philosophy.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currently consists of Danielle Lambert (Chair) and Harry You. The Board has determined that all members of the nominating and corporate governance committee qualify as independent under the Nasdaq listing standards.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shareholders, to serve on the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including in relation to corporate social responsibility;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performance of the Board, including its individual directors and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an executive officer or employee of the Company. None of our executive officers currently serves, or has served during the last completed fiscal year, on the compensation committee or board of directors of any other entity that has one or more executive officers who serve as a member of the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In addition, we post all disclosures that are required by law or the listing standards of Nasdaq concerning any amendments to, or waivers from, any provision of the code on our website. The reference to our website address does not constitute incorporation by reference of the information contained at or available through our website, and you should not consider it to be a part of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A&amp;R Constitution contains provisions requiring us to indemnify our directors, officers, and executives against all costs, charges, losses, expenses, and liabilities incurred by them the execution of their duties or in relation thereto, and to advance expenses (including attorneys’ fees) incurred in defending any action, suit or proceeding for which indemnification would be allowed, all to the extent permissible under Singapore law and the A&amp;R Constitution. In addition, we entered into an indemnification agreement with each of our directors and executive officers that provides for indemnification of that director and/or executive officer against certain claims that arise by reason of their status or service as a director or executive officer. We carry directors and officers liability insurance to cover our indemnification obligations to our directors and executive officers as well as to cover directly certain claims made against our directors and executive officers.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Singapore law, members of the board of directors of a Singapore company owe certain fiduciary duties towards the company, including a duty to act in good faith in the interests of the company, a duty to act honestly and to use reasonable diligence in the discharge of the duties of their office. Directors generally owe fiduciary duties to the company, and not to the company’s individual shareholders. The company’s shareholders may not have a direct cause of action against its directors. The company has a right to seek damages if a duty owed by directors is breached.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applicable law and our constitution, the directors may at their discretion exercise all powers of the company to borrow or otherwise raise money, to mortgage, charge or hypothecate all or any of its property or business including any uncalled or called but unpaid capital and to issue debentures and other securities, whether outright or as collateral security for any debt, liability or obligation of the company or of any third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Singapore Companies Act, every director who is, in any way, whether directly or indirectly, interested in a transaction or proposed transaction with the company must as soon as is practicable after the relevant facts have come to his or her knowledge declare the nature of his or her interest at a meeting of the directors of the company, or send a written notice to the company containing details on the nature, character and extent of his or her interest in the transaction or proposed transaction with the company. Under the company’s constitution, (i) every director shall observe such provisions of the Singapore Companies Act relating to the disclosure of the interests in transactions or proposed transactions with the company or of any office or property held by him which might create duties or interests in conflict with his duties or interests as a director; (ii) subject to such disclosure, a director shall be entitled to vote in respect of any transaction or arrangement in which he is interested; and (iii) such director shall be taken into account in ascertaining whether a quorum of a meeting is present.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A&amp;R Constitution, our directors may be appointed and removed by an ordinary resolution of shareholders. The directors shall have power at any time to appoint any person who is willing to act as a director, to fill any vacancies on the Board arising other than upon the removal of a director by ordinary resolution. Any such appointment shall be as an interim director to fill such vacancy until the next general meeting of the Company (and such appointment shall terminate at the commencement of such general meeting of the Company). Our directors are not automatically subject to a term of office and shall hold office until such time as they are removed from office by an ordinary resolution. In addition, a director will cease to be a director if he (i) becomes prohibited by law from being a director; (ii) ceases to be a director by virtue of any provisions of The Companies Act of 1967;</w:t>
      </w:r>
    </w:p>
    <w:p>
      <w:pPr>
        <w:spacing w:after="0" w:line="5" w:lineRule="exact"/>
        <w:rPr>
          <w:sz w:val="20"/>
          <w:szCs w:val="20"/>
          <w:color w:val="auto"/>
        </w:rPr>
      </w:pPr>
    </w:p>
    <w:p>
      <w:pPr>
        <w:jc w:val="both"/>
        <w:ind w:firstLine="8"/>
        <w:spacing w:after="0" w:line="251"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resign (not being a director holding any executive office for a fixed term) by writing under his hand left at the Company’s office or if he shall in writing offer to resign and the directors shall resolve to accept such offer; (iv) becomes bankrupt or makes any arrangement or composition with his creditors generally; (v) becomes mentally disordered and incapable of managing himself or his affairs or if in Singapore or elsewhere an order shall be made by any court claiming jurisdiction in that behalf on the ground (however formulated) of mental disorder for his detention or for the appointment of a guardian or for the appointment of a receiver or other person (by whatever name called) to exercise powers with respect to his property or affairs; (vi) becomes disqualified from acting as a director by virtue of his disqualification or removal or the revocation of his appointment as a director, as the case may be, under any applicable laws; (vii) absents himself from the meetings of the directors during a continuous period of three (3) months without special leave of absence from the Board and they pass a resolution that he has by reason of such absence vacated office; (viii) is removed from office by the Company in general meeting pursuant to the Company’s A&amp;R Constitution; and (ix) is disqualified from acting as a director in any jurisdiction for reasons other than on technical grounds (in which case he must immediately resign from the Board). Our officers are appointed by and serve at the discretion of the Board and may be removed by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with respect to the beneficial ownership of the Company as of the date of this prospectus by:</w:t>
      </w:r>
    </w:p>
    <w:p>
      <w:pPr>
        <w:spacing w:after="0" w:line="162"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Company 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they possess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31,833,549 Company Class A Shares and 19,744,585 Company Class B Shares issued and outstanding as of the date of this prospectus, and a total outstanding voting power of Company Shares of 91,067,304. Holders of record of Company Class A Shares are entitled to one (1) vote per share on all matters on which the Company Class A Shares are entitled to vote and holders of Company Class B Shares are entitled to three (3) votes per share on all matters on which the Company Class B Shares are entitled to vote.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Company Class 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of</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2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Company Class B Shares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 and Address of Beneficial Owner</w:t>
            </w:r>
            <w:r>
              <w:rPr>
                <w:rFonts w:ascii="Times New Roman" w:cs="Times New Roman" w:eastAsia="Times New Roman" w:hAnsi="Times New Roman"/>
                <w:sz w:val="29"/>
                <w:szCs w:val="29"/>
                <w:b w:val="1"/>
                <w:bCs w:val="1"/>
                <w:i w:val="1"/>
                <w:iCs w:val="1"/>
                <w:color w:val="auto"/>
                <w:vertAlign w:val="superscript"/>
              </w:rPr>
              <w:t>(1)</w:t>
            </w: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9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8"/>
                <w:szCs w:val="18"/>
                <w:b w:val="1"/>
                <w:bCs w:val="1"/>
                <w:color w:val="auto"/>
              </w:rPr>
              <w:t>Voting</w:t>
            </w:r>
          </w:p>
        </w:tc>
        <w:tc>
          <w:tcPr>
            <w:tcW w:w="0" w:type="dxa"/>
            <w:vAlign w:val="bottom"/>
          </w:tcPr>
          <w:p>
            <w:pPr>
              <w:spacing w:after="0"/>
              <w:rPr>
                <w:sz w:val="1"/>
                <w:szCs w:val="1"/>
                <w:color w:val="auto"/>
              </w:rPr>
            </w:pPr>
          </w:p>
        </w:tc>
      </w:tr>
      <w:tr>
        <w:trPr>
          <w:trHeight w:val="245"/>
        </w:trPr>
        <w:tc>
          <w:tcPr>
            <w:tcW w:w="4740" w:type="dxa"/>
            <w:vAlign w:val="bottom"/>
            <w:gridSpan w:val="3"/>
            <w:vMerge w:val="continue"/>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of Class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7"/>
                <w:szCs w:val="17"/>
                <w:color w:val="auto"/>
              </w:rPr>
              <w:t>Dr. Joseph Francis Fitzsimons</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Chief Executive Officer and</w:t>
            </w: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19,744,585</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38.28%</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57"/>
        </w:trPr>
        <w:tc>
          <w:tcPr>
            <w:tcW w:w="47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Gregory Gould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Chief Financial Officer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130,254</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Dr. Si-Hui Tan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Chief Science Officer</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1,217,494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8"/>
        </w:trPr>
        <w:tc>
          <w:tcPr>
            <w:tcW w:w="474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7"/>
                <w:szCs w:val="17"/>
                <w:color w:val="auto"/>
              </w:rPr>
              <w:t>Catherine Fitzsimons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Chief Legal and Compliance Officer,</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EVP of Strategic Initiatives and Company Secretary</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Harry L. You</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Director</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4,097,358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56"/>
        </w:trPr>
        <w:tc>
          <w:tcPr>
            <w:tcW w:w="47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Danielle Lambert</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Director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84,602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Turner, Director</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(7 individuals)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5,529,708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19,744,585</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67.96%</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Shareholders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dMY Squared Sponsor, LLC</w:t>
            </w:r>
            <w:r>
              <w:rPr>
                <w:rFonts w:ascii="Times New Roman" w:cs="Times New Roman" w:eastAsia="Times New Roman" w:hAnsi="Times New Roman"/>
                <w:sz w:val="29"/>
                <w:szCs w:val="29"/>
                <w:color w:val="auto"/>
                <w:vertAlign w:val="superscript"/>
              </w:rPr>
              <w:t>(8)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4,048,144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Singapore Innovate Pte. Ltd.</w:t>
            </w:r>
            <w:r>
              <w:rPr>
                <w:rFonts w:ascii="Times New Roman" w:cs="Times New Roman" w:eastAsia="Times New Roman" w:hAnsi="Times New Roman"/>
                <w:sz w:val="29"/>
                <w:szCs w:val="29"/>
                <w:color w:val="auto"/>
                <w:vertAlign w:val="superscript"/>
              </w:rPr>
              <w:t>(9)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3,486,531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56"/>
        </w:trPr>
        <w:tc>
          <w:tcPr>
            <w:tcW w:w="47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Abies Ventures Fund I, L.P.</w:t>
            </w:r>
            <w:r>
              <w:rPr>
                <w:rFonts w:ascii="Times New Roman" w:cs="Times New Roman" w:eastAsia="Times New Roman" w:hAnsi="Times New Roman"/>
                <w:sz w:val="29"/>
                <w:szCs w:val="29"/>
                <w:color w:val="auto"/>
                <w:vertAlign w:val="superscript"/>
              </w:rPr>
              <w:t>(10)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1,961,140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Peak XV Partners Seed Investment</w:t>
            </w:r>
            <w:r>
              <w:rPr>
                <w:rFonts w:ascii="Times New Roman" w:cs="Times New Roman" w:eastAsia="Times New Roman" w:hAnsi="Times New Roman"/>
                <w:sz w:val="29"/>
                <w:szCs w:val="29"/>
                <w:color w:val="auto"/>
                <w:vertAlign w:val="superscript"/>
              </w:rPr>
              <w:t>(11)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6,468,999</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56"/>
        </w:trPr>
        <w:tc>
          <w:tcPr>
            <w:tcW w:w="47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THL A12 Limited</w:t>
            </w:r>
            <w:r>
              <w:rPr>
                <w:rFonts w:ascii="Times New Roman" w:cs="Times New Roman" w:eastAsia="Times New Roman" w:hAnsi="Times New Roman"/>
                <w:sz w:val="29"/>
                <w:szCs w:val="29"/>
                <w:color w:val="auto"/>
                <w:vertAlign w:val="superscript"/>
              </w:rPr>
              <w:t>(12)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4,175,570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57"/>
        </w:trPr>
        <w:tc>
          <w:tcPr>
            <w:tcW w:w="4740" w:type="dxa"/>
            <w:vAlign w:val="bottom"/>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IonQ, Inc.</w:t>
            </w:r>
            <w:r>
              <w:rPr>
                <w:rFonts w:ascii="Times New Roman" w:cs="Times New Roman" w:eastAsia="Times New Roman" w:hAnsi="Times New Roman"/>
                <w:sz w:val="29"/>
                <w:szCs w:val="29"/>
                <w:color w:val="auto"/>
                <w:vertAlign w:val="superscript"/>
              </w:rPr>
              <w:t>(13)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4,230,118</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13.29%</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394"/>
        </w:trPr>
        <w:tc>
          <w:tcPr>
            <w:tcW w:w="4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Dell International L.L.C.</w:t>
            </w:r>
            <w:r>
              <w:rPr>
                <w:rFonts w:ascii="Times New Roman" w:cs="Times New Roman" w:eastAsia="Times New Roman" w:hAnsi="Times New Roman"/>
                <w:sz w:val="29"/>
                <w:szCs w:val="29"/>
                <w:color w:val="auto"/>
                <w:vertAlign w:val="superscript"/>
              </w:rPr>
              <w:t>(14)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2,115,059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9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Less than 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principal business address of each of the directors and executive officers of the Company is 29 Media Cir. #05-22, Singapore, 138565.</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Fitzsimons directly holds 19,744,585 Company Class B Shares.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86,836 Company Class A Shares issuable upon the exercise of 35,662 currently vested stock options exercisable at a price per Class A Ordinary Share of $5.13 directly held by Mr. Gould. Does not include 564,488 Company Class A Shares issuable upon the exercise of 231,807 unvested options that will not vest within 60 days of the date of this prospectus.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1,217,494 Company Class A Shares issuable upon the exercise of 500,000 vested stock options exercisable at a price per Company Class A Ordinary Share of $0.15.</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Fitzsimons will serve as the Chief Legal and Compliance Officer, EVP of Strategic Initiatives and Company Secretary of the Company beginning on May 11, 2026.</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49,214 Company Class A Shares directly held by Mr. You, 1,163,484 Company Class A Shares held by dMY Squared Sponsor, LLC and 2,884,660 Company Class A Shares issuable upon the cash exercise of 2,884,660 Company Private Warrants which will be exercisable within 60 days of the date of this prospectus. Mr. You has voting and investment discretion with respect to the Company Class A Shares held by dMY Squared Sponsor, LLC. The principal business address of Mr. You and the Sponsor is 1180 North Town Center Drive, Suite 100, Las Vegas, NV 89144.</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84,602 Company Class A Shares held by Penchant Family Holdings LLC. Penchant Family Holdings LLC is controlled by Penchant Holdings, Inc., its Managing Member, of which Danielle Lambert serves as President. Ms. Lambert may be deemed to be a beneficial owner of such shares. The business address of Penchant Family Holdings LLC is 66 West Flagler Street, Suite 900, Miami, FL 33130.</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1,163,484 Company Class A Shares held directly and 2,884,660 Company Class A Shares issuable upon the cash exercise of 2,884,660 Warrants which will be exercisable within 60 days of the date of this prospectus. Harry L. You is the manager of the Sponsor. Mr. You has voting and investment discretion with respect to the Company Class A Shares held by the Sponsor. The principal business address of Mr. You and the Sponsor is 1180 North Town Center Drive, Suite 100, Las Vegas, NV 89144.</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Yong Ying-I, Lim Hua Ern John, Jeremy Asher Kranz, Tan Sok Pin, Lee Kheng Nam, Shi Zu, Phuan Ling Fong and Cindy Khoo Seow Chyng, as directors of Singapore Innovate Pte. Ltd., may be deemed to have voting and dispositive power over the shares held by Singapore Innovate Pte Ltd. The foregoing individuals disclaim beneficial ownership of the shares, except to the extent of any pecuniary interest therein. The address of Singapore Innovate Pte Ltd. is 32 Carpenter Street Singapore 059911.</w:t>
      </w:r>
    </w:p>
    <w:p>
      <w:pPr>
        <w:spacing w:after="0" w:line="179"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Abies Ventures Fund I, L.P.’s business address is at Cricket Square, Hutchings Drive, PO Box 2681, Grand Cayman KY1-1111, Cayman Islands. Fuyuki Yamaguchi and Sota Nagano are the managing members of Abies Ventures GP I, LLP, the general partner of Abies Ventures Funds I, L.P. and consequently have joint voting control and investment discretion over securities held by Abies Ventures Fund I, L.P.</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2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dispositive authority over the shares held by Peak XV Partners Seed Investment is shared by the directors of Peak XV Partners Seed Investment, Satyadeo Bissessur and Krishnacoomari Bundhoo. The mailing address for Peak XV Partners Seed Investment is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Ebene Esplanade, 24 Bank Street, Cybercity Ebene, Mauritius.</w:t>
      </w:r>
    </w:p>
    <w:p>
      <w:pPr>
        <w:spacing w:after="0" w:line="19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 A12 Limited is a wholly owned subsidiary of Tencent Holdings Limited (“</w:t>
      </w:r>
      <w:r>
        <w:rPr>
          <w:rFonts w:ascii="Times New Roman" w:cs="Times New Roman" w:eastAsia="Times New Roman" w:hAnsi="Times New Roman"/>
          <w:sz w:val="18"/>
          <w:szCs w:val="18"/>
          <w:b w:val="1"/>
          <w:bCs w:val="1"/>
          <w:color w:val="auto"/>
        </w:rPr>
        <w:t>Tencent</w:t>
      </w:r>
      <w:r>
        <w:rPr>
          <w:rFonts w:ascii="Times New Roman" w:cs="Times New Roman" w:eastAsia="Times New Roman" w:hAnsi="Times New Roman"/>
          <w:sz w:val="18"/>
          <w:szCs w:val="18"/>
          <w:color w:val="auto"/>
        </w:rPr>
        <w:t>”). The registered address for THL A12 Limited is Vistra Corporate Services Centre, Wickhams Cay II, Road Town, Tortola, VG1110, British Virgin Islands. THL A12 Limited is beneficially owned and controlled by Tencent, a Cayman Islands company listed on the Main Board of the Stock Exchange of Hong Kong.</w:t>
      </w:r>
    </w:p>
    <w:p>
      <w:pPr>
        <w:spacing w:after="0" w:line="17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of IonQ, Inc. is 3755 Monte Villa Parkway, Bothell, WA 98021.</w:t>
      </w:r>
    </w:p>
    <w:p>
      <w:pPr>
        <w:spacing w:after="0" w:line="221"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International L.L.C. (“</w:t>
      </w:r>
      <w:r>
        <w:rPr>
          <w:rFonts w:ascii="Times New Roman" w:cs="Times New Roman" w:eastAsia="Times New Roman" w:hAnsi="Times New Roman"/>
          <w:sz w:val="18"/>
          <w:szCs w:val="18"/>
          <w:b w:val="1"/>
          <w:bCs w:val="1"/>
          <w:color w:val="auto"/>
        </w:rPr>
        <w:t>Dell International</w:t>
      </w:r>
      <w:r>
        <w:rPr>
          <w:rFonts w:ascii="Times New Roman" w:cs="Times New Roman" w:eastAsia="Times New Roman" w:hAnsi="Times New Roman"/>
          <w:sz w:val="18"/>
          <w:szCs w:val="18"/>
          <w:color w:val="auto"/>
        </w:rPr>
        <w:t>”) holds such shares directly. Dell International is a wholly-owned subsidiary of Dell Technologies Inc. (“</w:t>
      </w:r>
      <w:r>
        <w:rPr>
          <w:rFonts w:ascii="Times New Roman" w:cs="Times New Roman" w:eastAsia="Times New Roman" w:hAnsi="Times New Roman"/>
          <w:sz w:val="18"/>
          <w:szCs w:val="18"/>
          <w:b w:val="1"/>
          <w:bCs w:val="1"/>
          <w:color w:val="auto"/>
        </w:rPr>
        <w:t>Dell</w:t>
      </w:r>
      <w:r>
        <w:rPr>
          <w:rFonts w:ascii="Times New Roman" w:cs="Times New Roman" w:eastAsia="Times New Roman" w:hAnsi="Times New Roman"/>
          <w:sz w:val="18"/>
          <w:szCs w:val="18"/>
          <w:color w:val="auto"/>
        </w:rPr>
        <w:t>”). Dell may be deemed to be the indirect beneficial owner of such shares. The mailing address of each of Dell International and Dell is One Dell Way, Round Rock, Texas 78682.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37 shareholders of record of the Company Ordinary Shares, and two holders of record of the Company Warrants. As of the date of this prospectus, approximately 24.23% of our total issued ordinary shares were held by U.S. record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relates to, among other things, the registration and resale by the Selling Securityholders of (1) 2,884,660 Company Private Warrants and (2) 52,966,280 Company Class A Shares, including:</w:t>
      </w:r>
    </w:p>
    <w:p>
      <w:pPr>
        <w:spacing w:after="0" w:line="162"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19,957,530 Company Class A Shares held by certain Selling Securityholders;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1,163,484 Sponsor Shares;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9,196,021 Company Class A issued to PIPE Investors pursuant to various subscription agreements entered into on December 4, 2025 and March 6, 2026;</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2,884,660 Company Class A Shares underlying the Company Private Warrants;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19,744,585 Company Class A Shares issuable upon the conversion of the Company Class B of the Company currently held by Dr. Joseph Fitzsimons; and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Company Class A Shares held by Revere.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we refer to the “Selling Securityholders” in this prospectus, we mean the persons listed in the table below, and the pledgees, donees, transferees, assignees or other successors in interest (that receive any of the securities as a gift, distribution, or other non-sale related transfer) of the persons named in the table below.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securities for resale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 entitled “</w:t>
      </w:r>
      <w:r>
        <w:rPr>
          <w:rFonts w:ascii="Times New Roman" w:cs="Times New Roman" w:eastAsia="Times New Roman" w:hAnsi="Times New Roman"/>
          <w:sz w:val="18"/>
          <w:szCs w:val="18"/>
          <w:i w:val="1"/>
          <w:i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and Structure — Additional Agreements in connection with the Business Combination.”</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Company Shares registered on its behalf. A Selling Securityholder may sell all, some or none of such securities in this offering. See the section 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Securities beneficially owned</w:t>
            </w: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c>
          <w:tcPr>
            <w:tcW w:w="3020" w:type="dxa"/>
            <w:vAlign w:val="bottom"/>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Securities beneficially owned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prior to this offering</w:t>
            </w:r>
          </w:p>
        </w:tc>
        <w:tc>
          <w:tcPr>
            <w:tcW w:w="22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this offering</w:t>
            </w:r>
          </w:p>
        </w:tc>
        <w:tc>
          <w:tcPr>
            <w:tcW w:w="800" w:type="dxa"/>
            <w:vAlign w:val="bottom"/>
          </w:tcPr>
          <w:p>
            <w:pPr>
              <w:spacing w:after="0"/>
              <w:rPr>
                <w:sz w:val="21"/>
                <w:szCs w:val="21"/>
                <w:color w:val="auto"/>
              </w:rPr>
            </w:pP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Company</w:t>
            </w: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3"/>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Company</w:t>
            </w: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880" w:type="dxa"/>
            <w:vAlign w:val="bottom"/>
            <w:vMerge w:val="restart"/>
          </w:tcPr>
          <w:p>
            <w:pPr>
              <w:jc w:val="right"/>
              <w:ind w:right="171"/>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5"/>
                <w:szCs w:val="15"/>
                <w:b w:val="1"/>
                <w:bCs w:val="1"/>
                <w:color w:val="auto"/>
              </w:rPr>
              <w:t>(1)</w:t>
            </w: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restart"/>
          </w:tcPr>
          <w:p>
            <w:pPr>
              <w:jc w:val="center"/>
              <w:ind w:left="51"/>
              <w:spacing w:after="0"/>
              <w:rPr>
                <w:sz w:val="20"/>
                <w:szCs w:val="20"/>
                <w:color w:val="auto"/>
              </w:rPr>
            </w:pPr>
            <w:r>
              <w:rPr>
                <w:rFonts w:ascii="Times New Roman" w:cs="Times New Roman" w:eastAsia="Times New Roman" w:hAnsi="Times New Roman"/>
                <w:sz w:val="35"/>
                <w:szCs w:val="35"/>
                <w:b w:val="1"/>
                <w:bCs w:val="1"/>
                <w:color w:val="auto"/>
                <w:w w:val="89"/>
                <w:vertAlign w:val="subscript"/>
              </w:rPr>
              <w:t>%</w:t>
            </w:r>
            <w:r>
              <w:rPr>
                <w:rFonts w:ascii="Times New Roman" w:cs="Times New Roman" w:eastAsia="Times New Roman" w:hAnsi="Times New Roman"/>
                <w:sz w:val="15"/>
                <w:szCs w:val="15"/>
                <w:b w:val="1"/>
                <w:bCs w:val="1"/>
                <w:color w:val="auto"/>
                <w:w w:val="89"/>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120" w:type="dxa"/>
            <w:vAlign w:val="bottom"/>
            <w:gridSpan w:val="3"/>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89"/>
              </w:rPr>
              <w:t>shares</w:t>
            </w:r>
            <w:r>
              <w:rPr>
                <w:rFonts w:ascii="Times New Roman" w:cs="Times New Roman" w:eastAsia="Times New Roman" w:hAnsi="Times New Roman"/>
                <w:sz w:val="29"/>
                <w:szCs w:val="29"/>
                <w:b w:val="1"/>
                <w:bCs w:val="1"/>
                <w:color w:val="auto"/>
                <w:w w:val="89"/>
                <w:vertAlign w:val="superscript"/>
              </w:rPr>
              <w:t>(1)(2)</w:t>
            </w: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PIPE Investors</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IonQ, Inc.</w:t>
            </w:r>
            <w:r>
              <w:rPr>
                <w:rFonts w:ascii="Times New Roman" w:cs="Times New Roman" w:eastAsia="Times New Roman" w:hAnsi="Times New Roman"/>
                <w:sz w:val="29"/>
                <w:szCs w:val="29"/>
                <w:color w:val="auto"/>
                <w:vertAlign w:val="superscript"/>
              </w:rPr>
              <w:t>(3)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4,230,118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4,230,118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Dell International LLC</w:t>
            </w:r>
            <w:r>
              <w:rPr>
                <w:rFonts w:ascii="Times New Roman" w:cs="Times New Roman" w:eastAsia="Times New Roman" w:hAnsi="Times New Roman"/>
                <w:sz w:val="29"/>
                <w:szCs w:val="29"/>
                <w:color w:val="auto"/>
                <w:vertAlign w:val="superscript"/>
              </w:rPr>
              <w:t>(4)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2,115,059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2,115,059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Al Shams Investments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9"/>
                <w:szCs w:val="29"/>
                <w:color w:val="auto"/>
                <w:vertAlign w:val="superscript"/>
              </w:rPr>
              <w:t>(5)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1,692,047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1,692,047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Davidson Kempner Arbitrage,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Equities and Relative Value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620,178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620,178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Citadel CEMF Investments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246,404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246,404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3i, LP</w:t>
            </w:r>
            <w:r>
              <w:rPr>
                <w:rFonts w:ascii="Times New Roman" w:cs="Times New Roman" w:eastAsia="Times New Roman" w:hAnsi="Times New Roman"/>
                <w:sz w:val="29"/>
                <w:szCs w:val="29"/>
                <w:color w:val="auto"/>
                <w:vertAlign w:val="superscript"/>
              </w:rPr>
              <w:t>(8)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84,602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84,602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Penchant Family Holdings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(9)</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84,602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84,602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 Tao</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Bassel Khatoun</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Nael Khatoun</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CS Miami Holdings LLC</w:t>
            </w:r>
            <w:r>
              <w:rPr>
                <w:rFonts w:ascii="Times New Roman" w:cs="Times New Roman" w:eastAsia="Times New Roman" w:hAnsi="Times New Roman"/>
                <w:sz w:val="29"/>
                <w:szCs w:val="29"/>
                <w:color w:val="auto"/>
                <w:vertAlign w:val="superscript"/>
              </w:rPr>
              <w:t>(10)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M.H. Davidson &amp; Co.</w:t>
            </w:r>
            <w:r>
              <w:rPr>
                <w:rFonts w:ascii="Times New Roman" w:cs="Times New Roman" w:eastAsia="Times New Roman" w:hAnsi="Times New Roman"/>
                <w:sz w:val="29"/>
                <w:szCs w:val="29"/>
                <w:color w:val="auto"/>
                <w:vertAlign w:val="superscript"/>
              </w:rPr>
              <w:t>(6)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14,340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Iceberg Management LLC</w:t>
            </w:r>
            <w:r>
              <w:rPr>
                <w:rFonts w:ascii="Times New Roman" w:cs="Times New Roman" w:eastAsia="Times New Roman" w:hAnsi="Times New Roman"/>
                <w:sz w:val="29"/>
                <w:szCs w:val="29"/>
                <w:color w:val="auto"/>
                <w:vertAlign w:val="superscript"/>
              </w:rPr>
              <w:t>(11)</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16,690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Scott Atkinson</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8,460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 Khatoun</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Class B Shares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Joseph Francis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Fitzsimmons</w:t>
            </w:r>
            <w:r>
              <w:rPr>
                <w:rFonts w:ascii="Times New Roman" w:cs="Times New Roman" w:eastAsia="Times New Roman" w:hAnsi="Times New Roman"/>
                <w:sz w:val="29"/>
                <w:szCs w:val="29"/>
                <w:color w:val="auto"/>
                <w:vertAlign w:val="superscript"/>
              </w:rPr>
              <w:t>(12)</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19,744,585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19,744,585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Sponsor</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DMY Squared Sponsor</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LLC</w:t>
            </w:r>
            <w:r>
              <w:rPr>
                <w:rFonts w:ascii="Times New Roman" w:cs="Times New Roman" w:eastAsia="Times New Roman" w:hAnsi="Times New Roman"/>
                <w:sz w:val="14"/>
                <w:szCs w:val="14"/>
                <w:color w:val="auto"/>
              </w:rPr>
              <w:t>(13)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4,048,144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2,884,660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4,048,144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2,884,660</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Holders of Company Class A</w:t>
            </w: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Singapore Innovate Pte Ltd</w:t>
            </w:r>
            <w:r>
              <w:rPr>
                <w:rFonts w:ascii="Times New Roman" w:cs="Times New Roman" w:eastAsia="Times New Roman" w:hAnsi="Times New Roman"/>
                <w:sz w:val="29"/>
                <w:szCs w:val="29"/>
                <w:color w:val="auto"/>
                <w:vertAlign w:val="superscript"/>
              </w:rPr>
              <w:t>(14)</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3,486,531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3,486,531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Abies Ventures Fund I, L.P</w:t>
            </w:r>
            <w:r>
              <w:rPr>
                <w:rFonts w:ascii="Times New Roman" w:cs="Times New Roman" w:eastAsia="Times New Roman" w:hAnsi="Times New Roman"/>
                <w:sz w:val="29"/>
                <w:szCs w:val="29"/>
                <w:color w:val="auto"/>
                <w:vertAlign w:val="superscript"/>
              </w:rPr>
              <w:t>(15)</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1,961,140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1,961,140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Data Collective IV, L.P.</w:t>
            </w:r>
            <w:r>
              <w:rPr>
                <w:rFonts w:ascii="Times New Roman" w:cs="Times New Roman" w:eastAsia="Times New Roman" w:hAnsi="Times New Roman"/>
                <w:sz w:val="29"/>
                <w:szCs w:val="29"/>
                <w:color w:val="auto"/>
                <w:vertAlign w:val="superscript"/>
              </w:rPr>
              <w:t>(16)</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915,198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915,198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Thunderbolt Ventures Pte.</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Ltd</w:t>
            </w:r>
            <w:r>
              <w:rPr>
                <w:rFonts w:ascii="Times New Roman" w:cs="Times New Roman" w:eastAsia="Times New Roman" w:hAnsi="Times New Roman"/>
                <w:sz w:val="14"/>
                <w:szCs w:val="14"/>
                <w:color w:val="auto"/>
              </w:rPr>
              <w:t>(17)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522,970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522,970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Posa C.V</w:t>
            </w:r>
            <w:r>
              <w:rPr>
                <w:rFonts w:ascii="Times New Roman" w:cs="Times New Roman" w:eastAsia="Times New Roman" w:hAnsi="Times New Roman"/>
                <w:sz w:val="29"/>
                <w:szCs w:val="29"/>
                <w:color w:val="auto"/>
                <w:vertAlign w:val="superscript"/>
              </w:rPr>
              <w:t>(18)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424,913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424,913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Jan-Maarten Mulder</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424,913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424,913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Peak XV Partners Seed</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Investment</w:t>
            </w:r>
            <w:r>
              <w:rPr>
                <w:rFonts w:ascii="Times New Roman" w:cs="Times New Roman" w:eastAsia="Times New Roman" w:hAnsi="Times New Roman"/>
                <w:sz w:val="29"/>
                <w:szCs w:val="29"/>
                <w:color w:val="auto"/>
                <w:vertAlign w:val="superscript"/>
              </w:rPr>
              <w:t>(19)</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6,468,999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6,468,999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THL A12 Limited</w:t>
            </w:r>
            <w:r>
              <w:rPr>
                <w:rFonts w:ascii="Times New Roman" w:cs="Times New Roman" w:eastAsia="Times New Roman" w:hAnsi="Times New Roman"/>
                <w:sz w:val="29"/>
                <w:szCs w:val="29"/>
                <w:color w:val="auto"/>
                <w:vertAlign w:val="superscript"/>
              </w:rPr>
              <w:t>(20)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4,175,570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4,175,570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Expeditions Spolka Z</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Ograniczona</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Odpowiedzialnoscia Asi</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Spolka Komandytowa</w:t>
            </w:r>
            <w:r>
              <w:rPr>
                <w:rFonts w:ascii="Times New Roman" w:cs="Times New Roman" w:eastAsia="Times New Roman" w:hAnsi="Times New Roman"/>
                <w:sz w:val="29"/>
                <w:szCs w:val="29"/>
                <w:color w:val="auto"/>
                <w:vertAlign w:val="superscript"/>
              </w:rPr>
              <w:t>(21)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484,190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484,190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Asia Innovation Ventures,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1,043,892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1,043,892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Harry You</w:t>
            </w:r>
            <w:r>
              <w:rPr>
                <w:rFonts w:ascii="Times New Roman" w:cs="Times New Roman" w:eastAsia="Times New Roman" w:hAnsi="Times New Roman"/>
                <w:sz w:val="29"/>
                <w:szCs w:val="29"/>
                <w:color w:val="auto"/>
                <w:vertAlign w:val="superscript"/>
              </w:rPr>
              <w:t>(23)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49,214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Revere Securities LLC </w:t>
            </w:r>
            <w:r>
              <w:rPr>
                <w:rFonts w:ascii="Times New Roman" w:cs="Times New Roman" w:eastAsia="Times New Roman" w:hAnsi="Times New Roman"/>
                <w:sz w:val="29"/>
                <w:szCs w:val="29"/>
                <w:color w:val="auto"/>
                <w:vertAlign w:val="superscript"/>
              </w:rPr>
              <w:t>(24)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shd w:val="clear" w:color="auto" w:fill="CCEEFF"/>
          </w:tcPr>
          <w:p>
            <w:pPr>
              <w:spacing w:after="0"/>
              <w:rPr>
                <w:sz w:val="23"/>
                <w:szCs w:val="23"/>
                <w:color w:val="auto"/>
              </w:rPr>
            </w:pPr>
          </w:p>
        </w:tc>
        <w:tc>
          <w:tcPr>
            <w:tcW w:w="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80" w:type="dxa"/>
            <w:vAlign w:val="bottom"/>
            <w:gridSpan w:val="2"/>
            <w:vMerge w:val="continue"/>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52,966,280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2,884,660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52,966,280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2,884,660</w:t>
            </w:r>
          </w:p>
        </w:tc>
        <w:tc>
          <w:tcPr>
            <w:tcW w:w="80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shareholding less than 1.0%</w:t>
      </w:r>
    </w:p>
    <w:p>
      <w:pPr>
        <w:spacing w:after="0" w:line="27" w:lineRule="exact"/>
        <w:rPr>
          <w:sz w:val="20"/>
          <w:szCs w:val="20"/>
          <w:color w:val="auto"/>
        </w:rPr>
      </w:pPr>
    </w:p>
    <w:p>
      <w:pPr>
        <w:jc w:val="both"/>
        <w:ind w:left="660" w:hanging="652"/>
        <w:spacing w:after="0" w:line="250"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is calculated based on 57,622,294 Company Shares issued and outstanding the date of this prospectus, consisting of (1) 31,833,549 Company Class A Shares and 19,744,585 Company Class B Shares issued and outstanding as of the date of this prospectus and includes 6,044,160 Company Class A Shares issuable upon the exercise of outstanding Company Warrants.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Registered Securities offered in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272" w:gutter="0" w:footer="0" w:header="0"/>
        </w:sectPr>
      </w:pPr>
    </w:p>
    <w:bookmarkStart w:id="142" w:name="page143"/>
    <w:bookmarkEnd w:id="142"/>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IonQ, Inc is a PIPE Investor and a party to the PIPE Subscription Agreement, as well as the Quantum Systems Agreement.</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International L.L.C. is a wholly-owned subsidiary of Dell Technologies Inc. (“</w:t>
      </w:r>
      <w:r>
        <w:rPr>
          <w:rFonts w:ascii="Times New Roman" w:cs="Times New Roman" w:eastAsia="Times New Roman" w:hAnsi="Times New Roman"/>
          <w:sz w:val="18"/>
          <w:szCs w:val="18"/>
          <w:b w:val="1"/>
          <w:bCs w:val="1"/>
          <w:color w:val="auto"/>
        </w:rPr>
        <w:t>Dell</w:t>
      </w:r>
      <w:r>
        <w:rPr>
          <w:rFonts w:ascii="Times New Roman" w:cs="Times New Roman" w:eastAsia="Times New Roman" w:hAnsi="Times New Roman"/>
          <w:sz w:val="18"/>
          <w:szCs w:val="18"/>
          <w:color w:val="auto"/>
        </w:rPr>
        <w:t>”). Dell may be deemed to be the indirect beneficial owner of such shares.</w:t>
      </w: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Wafic Rida Said, the control person of Al Shams Investments Limited, may be deemed to have voting and dispositive power over the shares held by Al Shams Investments Limited.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A. Yoseloff, the control person of Davidson Kempner Arbitrage, Equities and Relative Value LP and M.H Davidson &amp; Co, may be deemed to have voting and dispositive power over the shares held by Davidson Kempner Arbitrage, Equities and Relative Value LP and M.H Davidson &amp; Co.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may be deemed to have voting and dispositive power over the shares held by Citadel CEMF Investments Ltd.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p>
      <w:pPr>
        <w:spacing w:after="0" w:line="2"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Penchant Family Holdings LLC is controlled by Penchant Holdings, Inc., its Managing Member, of which Danielle Lambert, one of our Directors, serves as President. Ms. Lambert may be deemed to be a beneficial owner of such shares.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Ralph Millee and Marco Tine the control person of CS Miami Holdings LLC, may be deemed to have voting and dispositive power over the shares held by CS Miami Holdings LLC. The foregoing individuals disclaim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Ralph Winter, the control person of Iceberg Management, may be deemed to have voting and dispositive power over the shares held by Iceberg Management. The foregoing individual disclaims beneficial ownership of the shares, except to the extent of any pecuniary interest therein.</w:t>
      </w:r>
    </w:p>
    <w:p>
      <w:pPr>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Francis Fitzsimmons holds 19,744,585 Class B Shares, which are convertible into an equal number of Company Class A Shares at any time at his option. Dr. Fitzsimmons is our Chief Executive Officer and Chairman.</w:t>
      </w: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1,163,484 Company Class A Shares held directly and 2,884,660 Company Class A Shares issuable upon the cash exercise of 2,884,660 Company Private Warrants which will be exercisable within 60 days of the date of this prospectus. Harry L. You, one of our Directors, is the managing member of the Sponsor. Mr. You has voting and investment discretion with respect to the Company Class A Shares held by the Sponsor.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Yong Ying-I, Lim Hua Ern John, Jeremy Asher Kranz, Tan Sok Pin, Lee Kheng Nam, Shi Zu, Phuan Ling Fong and Cindy Khoo Seow Chyng, as directors of Singapore Innovate Pte. Ltd., may be deemed to have voting and dispositive power over the shares held by Singapore Innovate Pte Ltd. The foregoing individuals disclaim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Fuyuki Yamaguchi and Sota Nagano are the managing members of Abies Ventures GP I, LLP, the general partner of Abies Ventures Funds I, L.P. and consequently have joint voting control and investment discretion over securities held by Abies Ventures Fund I, L.P.</w:t>
      </w: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Zachary Bogue and Matthew Ocko, the managing members of the general partner of Data Collective IV, L.P., may be deemed to have voting and dispositive power over the shares held by Data Collective IV, L.P. The foregoing individuals disclaim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Dorjee Weiming Leonard Sun , the control person of Thunderbolt Ventures Pte. Ltd. may be deemed to have voting and dispositive power over the shares held by Thunderbolt Ventures Pte. Ltd.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Stiching Acer in its capacity as General Partner of Posa C.V. may be deemed to have voting and dispositive power over the shares held by Posa C.V and disclaims beneficial ownership of the shares, except to the extent of any pecuniary interest therein.</w:t>
      </w:r>
    </w:p>
    <w:p>
      <w:pPr>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and dispositive authority over the shares held by Peak XV Partners Seed Investment is shared by the directors of Peak XV Partners Seed Investment, Satyadeo Bissessur and Krishnacoomari Bundhoo.</w:t>
      </w:r>
    </w:p>
    <w:p>
      <w:pPr>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 A12 Limited is a wholly owned subsidiary of Tencent Holdings Limited (“</w:t>
      </w:r>
      <w:r>
        <w:rPr>
          <w:rFonts w:ascii="Times New Roman" w:cs="Times New Roman" w:eastAsia="Times New Roman" w:hAnsi="Times New Roman"/>
          <w:sz w:val="18"/>
          <w:szCs w:val="18"/>
          <w:b w:val="1"/>
          <w:bCs w:val="1"/>
          <w:color w:val="auto"/>
        </w:rPr>
        <w:t>Tencent</w:t>
      </w:r>
      <w:r>
        <w:rPr>
          <w:rFonts w:ascii="Times New Roman" w:cs="Times New Roman" w:eastAsia="Times New Roman" w:hAnsi="Times New Roman"/>
          <w:sz w:val="18"/>
          <w:szCs w:val="18"/>
          <w:color w:val="auto"/>
        </w:rPr>
        <w:t>”). THL A12 Limited is beneficially owned and controlled by Tencent, a Cayman Islands company listed on the Main Board of the Stock Exchange of Hong Kong.</w:t>
      </w: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Mikolaj Firlej, the control person of Expeditions Spolka Z Ograniczona Odpowiedzialnoscia Asi Spolka Komandytowa may be deemed to have voting and dispositive power over the shares held by Expeditions Spolka Z Ograniczona Odpowiedzialnoscia Asi Spolka Komandytowa.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Arthur M. Pappas, managing partner of the general partner of Asia Innovation Ventures, LP may be deemed to have voting and dispositive power over the shares held by Asia Innovation Ventures, LP. The foregoing individual disclaims beneficial ownership of the shares, except to the extent of any pecuniary interest therein.</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49,214 Company Class A Shares directly held by Mr. You, our Director and the Managing Member of the Sponsor.</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DMY engaged Revere Securities LLC as its financial advisor and marketing agent in connection with the Business Combination. In compensation for the service, Revere received 20,000 Class A Shares. William Francis Moreno, the chief executive officer and chairman of Revere Investment Holdings LLC, may be deemed to have voting and dispositive power over the shares held by Revere. The foregoing individual disclaims beneficial ownership of the shares, except to the extent of any pecuniary interest therein.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3" w:name="page144"/>
    <w:bookmarkEnd w:id="143"/>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Ancillary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Agreement, certain agreements were entered into on September 9, 2025 or were entered into at the Closing of the Business Combination. The agreements described in this section are filed as exhibits to this prospectus, and the following descriptions are qualified by reference thereto. These agreements include: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DMY Support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on September 9, 2025, the Sponsor, entered into the DMY Support Agreement with DMY, the Company, and Horizon pursuant to which the Sponsor has agreed (and each other Holders of Founder Shares has agreed) (i) to vote, at any meeting of the shareholders of DMY, and in any action by written consent of the shareholders of DMY, all DMY Class A Shares and DMY Class B Shares in favor of the Business Combination Agreement and each other proposal presented by DMY in the Form F-4, and against certain competing proposals or competing transactions, and in favor of any proposal sought by DMY to extend the deadline by which DMY must consummate its initial business combination, (ii) to certain non-solicitation limitations with respect to certain competing transactions, (iii) to irrevocably waive, to the fullest extent permitted by law and the DMY Articles, the anti-dilution provisions of the DMY Articles that would have DMY Class B Shares convert to DMY Class A Shares at a ratio of greater than one-for-one, and (iv) to refrain from selling, assigning or transferring any DMY Common Stock except to certain permitted transferees, until the earliest of (A) the effective time of the SPAC Merger, (B) such date and time as the Business Combination Agreement is terminated in accordance with its terms, (C) the liquidation of DMY, (D) the written agreement of each of the terminating Holders of Founder Shares, DMY and Horizon with respect to terminating the rights and obligations under the DMY Support Agreement of a specific Holder of Founder Shares or a subset of Holders of Founder Shares and (E) the written agreement of all Holders of Founder Shares, DMY and Horizon to terminate the DMY Support Agreement in its entirety. Pursuant to the DMY Support Agreement, the Holders of Founder Shares agreed to comply with their non-redemption obligations as specified in the Insider Letter they entered into with DMY in connection with DMY’s IPO. No consideration has been or will be paid by DMY, the Company, or Horizon to the Sponsor or other Holders of Founder Shares in connection with such agreements. The DMY Support Agreement is attached as Exhibit 10.16 to the registration statement of which this prospectus forms a part.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Horizon Support Agreement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on September 9, 2025, DMY, the Company, Horizon, and each of the Horizon Shareholders entered into the Horizon Support Agreement. Pursuant to the Horizon Support Agreement, each Horizon Shareholder (a) agreed to vote (whether pursuant to a duly convened meeting of the Horizon Shareholders or to approve by way of a written resolution of the Horizon Shareholders) all Horizon Shares owned by them in favor of approving the Business Combination Agreement, the Ancillary Agreements to which Horizon is or will be a party and the Business Combination and Horizon Preference Share Conversion, (b) agreed to vote in opposition to any Alternative Transaction (as defined below) and any and all other proposals, actions or agreements for the acquisition of Horizon, that would materially impede the Business Combination, or would result in any material change to the present capitalization of Horizon, any amendment to the Horizon Constitution, or Horizon’s corporate structure or business, among other things, (c) agreed that the Amalgamation, Business Combination, and the entry into the Business Combination Agreement and Ancillary Agreements constitute Affirmative Vote Items, and agreed to consent and approve them for all purposes under the existing Shareholders’ Agreement and the Horizon Constitution, and waive all rights they may have under the Shareholders’ Agreement and the Horizon Constitution in relation to the Business Combination (including to the extent any rights of first refusal, tag-along rights, pre-emptive rights or other transfer restrictions may apply),</w:t>
      </w:r>
    </w:p>
    <w:p>
      <w:pPr>
        <w:spacing w:after="0" w:line="4" w:lineRule="exact"/>
        <w:rPr>
          <w:sz w:val="20"/>
          <w:szCs w:val="20"/>
          <w:color w:val="auto"/>
        </w:rPr>
      </w:pPr>
    </w:p>
    <w:p>
      <w:pPr>
        <w:jc w:val="both"/>
        <w:ind w:firstLine="8"/>
        <w:spacing w:after="0" w:line="252" w:lineRule="auto"/>
        <w:tabs>
          <w:tab w:leader="none" w:pos="2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that the Shareholders’ Agreement shall be automatically terminated and of no further force and effect effective as of, and subject to and conditioned upon, the Closing, (e) agreed not to transfer any of its Horizon Shares except to certain permitted transferees prior to the Closing, in each case, on the terms and subject to the conditions set forth in the Horizon Support Agreements, (f) agreed not to raise any right to dissent, right to demand payment or right of appraisal under applicable law, and (g) in the case of holders of Horizon Preference Shares, they have notified Horizon of their election to convert all of the Horizon Preference Shares held by them into Horizon Ordinary Shares on the date that is one business day before the effective time of the Amalgamation. The form of Horizon Support Agreement is attached as Exhibit 10.17 to the registration statement of which this prospectus forms a part.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consideration has been or will be paid by DMY, Horizon, or the Company to the Horizon Shareholders in connection with such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pursuant to the Business Combination Agreement, the Lock-Up Securityholders will enter into the Lock-Up Agreement with the Company, pursuant to which the Lock-Up Shares will be subject to lock-up during the Shares Lock-Up Period and the Company Warrants and underlying Company Shares will be subject to lock-up during the Warrants Lock-Up Period. An aggregate of approximately 41.8 million Lock-up Shares are anticipated to be subject to such transfer restrictions, representing approximately 78.1% of the total issued and outstanding Company Shares following the Business Combination, assuming the No Additional Redemptions Scenario. An aggregate of 2,884,660 Company Private Warrants, and 2,884,660 Company Class A Shares issuable upon the exercise of such warrants, are anticipated to be subject to such transfer restrictions, representing approximately 47.7% of the issued and outstanding Warrants following the Business Combination. For further details of the Lock-Up Agreement, please refer to Exhibit 10.1.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the Company, the Sponsor and certain former Horizon Shareholders entered into a Registration Rights Agreement. Pursuant to the Registration Rights Agreement, among other things, the Company agreed that, within 30 calendar days following the Closing, the Company will file with the SEC (at the Company’s sole cost and expense) a registration statement registering the Registrable Securities (as defined in the Registration Rights Agreement) held by the holder parties thereto for resale (the “</w:t>
      </w:r>
      <w:r>
        <w:rPr>
          <w:rFonts w:ascii="Times New Roman" w:cs="Times New Roman" w:eastAsia="Times New Roman" w:hAnsi="Times New Roman"/>
          <w:sz w:val="18"/>
          <w:szCs w:val="18"/>
          <w:b w:val="1"/>
          <w:bCs w:val="1"/>
          <w:color w:val="auto"/>
        </w:rPr>
        <w:t>Resale Registration Statement</w:t>
      </w:r>
      <w:r>
        <w:rPr>
          <w:rFonts w:ascii="Times New Roman" w:cs="Times New Roman" w:eastAsia="Times New Roman" w:hAnsi="Times New Roman"/>
          <w:sz w:val="18"/>
          <w:szCs w:val="18"/>
          <w:color w:val="auto"/>
        </w:rPr>
        <w:t>”), and the Company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Registration Rights Agreement will terminate on the earlier of (a) the five year anniversary of the date of the Registration Rights Agreement or (b) with respect to any holder party thereto, on the date that such holder no longer holds any Registrable Securities (as defined therein). Additionally, the PIPE Investors have registration rights pursuant to the terms of the PIPE Subscription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Approximately 51.6 million Company Class A Shares are subject to registration rights pursuant to the Registration Rights Agreement (including Company Class A Shares underlying issued and outstanding equity securities of the Company that are exercisable for or convertible into Company Class A Shares) and PIPE Subscription Agreements immediately following Closing. The form of Registration Rights Agreement is attached as Exhibit 10.2 to the registration statement of which this prospectus forms a part.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Assumption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pursuant to the Business Combination Agreement, the Company, DMY and Continental Stock Transfer &amp; Trust Company entered into the Warrant Assumption Agreement. Pursuant to the Warrant Assumption Agreement, each DMY Warrant outstanding immediately prior to the effective time of the Merger ceased to be a warrant exercisable for DMY Class A common stock and was assumed by the Company and became a Company Warrant exercisable for Company Class A Shares pursuant to the Warrant Assumption Agreement. The form of Warrant Assumption Agreement is attached as Exhibit 4.4 to the registration statement of which this prospectus forms a part.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 with Penchant Family Holdings LLC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6, 2026, DMY, the Company, and Horizon entered into additional PIPE Subscription Agreements with Penchant Family Holdings LLC, pursuant to which the Company has agreed to issue and sell, and Penchant Family Holdings LLC agreed to subscribe for and purchase $1,000,000 of PIPE Shares, at a per share price equal to the Redemption Price. Penchant Family Holdings LLC, is an entity controlled by Penchant Holdings, Inc., its Managing Member, of which Danielle Lambert serves as its President. Ms. Lambert is a director of the Company. See “</w:t>
      </w:r>
      <w:r>
        <w:rPr>
          <w:rFonts w:ascii="Times New Roman" w:cs="Times New Roman" w:eastAsia="Times New Roman" w:hAnsi="Times New Roman"/>
          <w:sz w:val="18"/>
          <w:szCs w:val="18"/>
          <w:i w:val="1"/>
          <w:iCs w:val="1"/>
          <w:color w:val="auto"/>
        </w:rPr>
        <w:t>Corporate History and Structure</w:t>
      </w:r>
      <w:r>
        <w:rPr>
          <w:rFonts w:ascii="Times New Roman" w:cs="Times New Roman" w:eastAsia="Times New Roman" w:hAnsi="Times New Roman"/>
          <w:sz w:val="18"/>
          <w:szCs w:val="18"/>
          <w:color w:val="auto"/>
        </w:rPr>
        <w:t>” for further details on the PIPE Private Placement.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IonQ Quantum Systems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31, 2026, the Company and IonQ entered into a Quantum Systems Agreement, pursuant to which, the Company purchased, among other things, a dedicated trapped-ion quantum computing system from IonQ for an aggregate consideration of US$35 million. See “</w:t>
      </w:r>
      <w:r>
        <w:rPr>
          <w:rFonts w:ascii="Times New Roman" w:cs="Times New Roman" w:eastAsia="Times New Roman" w:hAnsi="Times New Roman"/>
          <w:sz w:val="18"/>
          <w:szCs w:val="18"/>
          <w:i w:val="1"/>
          <w:iCs w:val="1"/>
          <w:color w:val="auto"/>
        </w:rPr>
        <w:t>Business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for a summary of the material terms of the IonQ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employment agreements with our Chief Executive Officer, Chief Financial Officer, and our Chief Legal and Compliance Officer, EVP of Strategic Initiatives and Company Secretary, which agreements include confidentiality and non-disclosure restrictions and non-competition and non-solicitation restrictions that apply during employment and for certain periods following a termination of employment. This summary is qualified in its entirety by the Form of Singapore Executive Officer Employment Agreement and Form of Irish Executive Officer Employment Agreement, which are included as Exhibits 10.7 and 10.8 to this prospectus,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 summary of the material provisions governing our securities is described below. This summary is not complete and should be read together with the A&amp;R Constitution.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Shares have no par value as there is no concept of authorized share capital under Singapore law. All shares presently issued are fully paid. Although Singapore law does not recognize the concept of “non-assessability” with respect to newly issued shares, the Company notes that any subscriber of Company Shares who has fully paid up all amounts due with respect to such Company Shares will not be subject under Singapore law to any personal liability to contribute to Company’s assets or liabilities in such subscriber’s capacity solely as a holder of such Company Shares, except in very limited and exceptional circumstances where Singapore courts may consider it fit to “lift the corporate veil.” The Company believes this interpretation is substantively consistent with the concept of “non-assessability” under most, if not all, U.S. state corporations laws. The Company cannot, except in the circumstances permitted by the Singapore Companies Act, grant any financial assistance for the acquisition or proposed acquisition of the Company’s own Company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Company Class A Share is entitled to one vote per share and each Company Class B Share is entitled to three votes per share. Voting at any meeting of shareholders is by poll. On a poll, each holder of Company Class A Shares who is present in person or by proxy or by attorney or in the case of a corporation, by a representative, has one vote for each Company Class A Share which he holds or represents, while each holder of Company Class B Shares who is present in person or by proxy or by attorney or in the case of a corporation, by a representative, has three votes for each Company Class B Share which he holds or represents. Proxies need not be shareholders. There are no limitations imposed by the A&amp;R Constitution on the rights of non-resident or foreign shareholders to hold or exercise voting rights on Company’s shares. In addition, there are no provisions in the A&amp;R Constitution governing the ownership threshold above which shareholder ownership must be disclosed.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Only those shareholders who are registered in Company’s register of members will be entitled to vote at any meeting of shareholders in person or by proxy or by attorney or, in the case of a corporation, by a representative. Therefore, since the Company Shares are held through the Depositary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or its nominee, DTC or its nominee will grant an omnibus proxy to DTC participants holding Company Shares in book-entry form through a broker, bank, nominee, or other institution that is a direct or indirect participant of DTC. Such shareholders will have the right to instruct their broker, bank, nominee or other institution holding these ordinary shares on how to vote such ordinary shares by completing the voting instruction form provided by the applicable broker, bank, nominee, or other institution. Company’s vote will be voted by the chairman of the meeting according to the results of the votes of the DTC participants (which results will reflect the instructions received from shareholders that own Company Shares electronically in book-entry form through DTC).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Company may, by ordinary resolution, declare dividends at a general meeting of Company’s shareholders, but no dividend shall be payable except out of Company’s profits, and the amount of any such dividend shall not exceed the amount recommended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Subject to the Company A&amp;R Constitution and in accordance with the Singapore Companies Act, the Board may, without the approval of Company’s shareholders, declare and pay interim dividends, but any final dividends the Board declares must be approved by an ordinary resolution at a general meeting of Company’s shareholders. Company currently has not adopted a dividend policy with respect to future dividends and Company does not have any present plan to pay any cash dividends on Company Shares in the foreseeable future after consummation of the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Capitalization and Other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with the approval of Company’s shareholders at a general meeting, capitalize any reserves or profits and distribute them as shares, credited as paid-up, to Company’s shareholders in proportion to their shareholdings in accordance with the Company’s A&amp;R Constitution.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affecting the Company, under the Company A&amp;R Constitution, whenever the Company’s share capital is divided into different classes of shares, the rights attached to any class may be varied or abrogated either with the consent in writing of the holders of three-quarters of the voting rights of the issued shares of the class or with the sanction of a special resolution passed at a separate general meeting of the holders of the shares of the class (but not otherwise) and may be so varied or abrogated either whilst the Company is a going concern or during or in contemplation of a winding-up. To every such separate general meeting, (i) the necessary quorum shall be two persons (unless all the shares of the class are held by one person whereupon no quorum is applicable) at least holding or representing by proxy or attorney at least one-third of the voting rights of the issued shares of the class and that any holder of shares of the class present in person or by proxy or by attorney may demand a poll, and on a poll shall, in the case of any holder of ordinary shares, have one vote for every share of the class held by him, provided always that where the necessary majority for such a special resolution is not obtained at such general meeting, consent in writing if obtained from the holders of three-fourths of the issued shares of the class concerned within two months of such general meeting shall be as valid and effectual as a special resolution carried at such general meeting; and (ii) where all the issued shares of the class are held by one person, the necessary quorum shall be one person and such holder of shares of the class present in person or by proxy or by attorney may demand a poll.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of New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the Company’s shareholders in a general meeting. General approval may be sought from the Company’s shareholders in a general meeting for the issuance of shares. Such approval, if granted, will lapse at the earlier of the conclusion of the next annual general meeting or the expiration of the period within which the next annual general meeting is required by law to be held (i.e., within six months after the end of each fiscal year). However, any approval may be revoked or varied by the Company in a general meeting.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issuance of new shares for the proposed sale to the public, the Company’s shareholders will provide such general authority to issue new ordinary shares as required by the Singapore Companies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this and the provisions of the Singapore Companies Act and the Company A&amp;R Constitution, the Company’s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Company Shares are listed, as well as U.S. federal and blue sky securities laws applicable to such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Company Class B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Company A&amp;R Constitution, each Company Class B Share shall be convertible into one Company Class A Share (“Conversion Ratio”) at any time at the option of the holder of that Company Class B Share.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Company A&amp;R Constitution, subject to the Singapore Companies Act, on the date of any sale, assignment, transfer, conveyance, pledge, hypothecation or other transfer or disposition of Company Class B Shares or any legal or beneficial interest in such shares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whether or not for value, by the initial registered holder thereof, unless provided otherwise in the Company A&amp;R Constitution, the Company Class B Shares held by the holder as registered on the register of members of the Company shall be automatically converted to Company Class A Shares at the Conversion Ratio, effective immediately upon such Transfer (“</w:t>
      </w:r>
      <w:r>
        <w:rPr>
          <w:rFonts w:ascii="Times New Roman" w:cs="Times New Roman" w:eastAsia="Times New Roman" w:hAnsi="Times New Roman"/>
          <w:sz w:val="18"/>
          <w:szCs w:val="18"/>
          <w:b w:val="1"/>
          <w:bCs w:val="1"/>
          <w:color w:val="auto"/>
        </w:rPr>
        <w:t>Automatic Conversion Date</w:t>
      </w:r>
      <w:r>
        <w:rPr>
          <w:rFonts w:ascii="Times New Roman" w:cs="Times New Roman" w:eastAsia="Times New Roman" w:hAnsi="Times New Roman"/>
          <w:sz w:val="18"/>
          <w:szCs w:val="18"/>
          <w:color w:val="auto"/>
        </w:rPr>
        <w:t>”), and the person entitled to receive the Company Class A Shares upon such conversion shall be treated for all purposes as the record holder of such Company Class A Shares on such date. Notwithstanding anything in the Company A&amp;R Constitution, any holder of Company Class B Shares may charge his, her or its Company Class B Shares to a chargee pursuant to a bona fide charge of Company Class B Shares as collateral security for indebtedness due to the chargee so long as the Company Class B Shares are not transferred to or registered in the name of the chargee. In the event of any charge of the Company Class B Shares meeting these requirements, the charged shares will not be converted automatically into Company Class A Shares. If the charged Company Class B Shares become subject to any foreclosure, realisation or other similar action by the chargee, they will be converted automatically into Company Class A Shares upon the occurrence of that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the Singapore Companies Act, each Company Class B Share shall be automatically converted to Company Class A Shares at the Conversion Ratio without further action by the Company or the holder thereof upon the earliest to occur of the following:</w:t>
      </w:r>
    </w:p>
    <w:p>
      <w:pPr>
        <w:spacing w:after="0" w:line="158" w:lineRule="exact"/>
        <w:rPr>
          <w:sz w:val="20"/>
          <w:szCs w:val="20"/>
          <w:color w:val="auto"/>
        </w:rPr>
      </w:pPr>
    </w:p>
    <w:p>
      <w:pPr>
        <w:ind w:left="980" w:right="20" w:hanging="324"/>
        <w:spacing w:after="0" w:line="28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p.m., Singapore time, on the first day following the date on which Dr. Joseph Fitzsimons (the “</w:t>
      </w:r>
      <w:r>
        <w:rPr>
          <w:rFonts w:ascii="Times New Roman" w:cs="Times New Roman" w:eastAsia="Times New Roman" w:hAnsi="Times New Roman"/>
          <w:sz w:val="18"/>
          <w:szCs w:val="18"/>
          <w:b w:val="1"/>
          <w:bCs w:val="1"/>
          <w:color w:val="auto"/>
        </w:rPr>
        <w:t>Horizon Founder</w:t>
      </w:r>
      <w:r>
        <w:rPr>
          <w:rFonts w:ascii="Times New Roman" w:cs="Times New Roman" w:eastAsia="Times New Roman" w:hAnsi="Times New Roman"/>
          <w:sz w:val="18"/>
          <w:szCs w:val="18"/>
          <w:color w:val="auto"/>
        </w:rPr>
        <w:t>”) is no longer serving as a director or officer of Company;</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or incapacity of the Horizon Founder;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 number of outstanding Company Class B Shares is less than 50% the total number of outstanding Company Class B Shares as of immediately following the completion of the amalgamation between the Horizon and Merger Sub 1, as equitably adjusted for share splits, reverse share splits, share dividends, reorganizations, consolidations, exchanges of shares or other like changes or transactions with respect to the Company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Conversion Ratio may be adjusted by the directors of Company as necessary from time to time in order to account for any subdivision (by share split, subdivision, exchange, capitalization, rights issue, reclassification, recapitalization or otherwise) or combination (by reverse share split, share consolidation, exchange, reclassification, recapitalization or otherwise) or similar reclassification or recapitalization of the Company Class A Shares in issue into a greater or lesser number of shares without there being a proportionate and corresponding subdivision, combination or similar reclassification or recapitalization of the Company Class B Shares in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Singapore Companies Act, different classes of shares in a public company may be issued only if (a) the issue of the class or classes of shares is provided for in the constitution of the public company and (b) the constitution of the public company sets out in respect of each class of shares the rights attached to that class of shares. The Company A&amp;R Constitution provides that it may issue shares of a different class with preferred, deferred or other special, limited or conditional rights, or subject to such restrictions, whether as regards dividend, return of capital, voting or otherwise, or which do not confer voting rights as the Board may determine from time to time provided that it is approved by ordinary resolution, or if required by the statutes, special resolution at a general meeting of its shareholder.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subject to the Singapore Companies Act and the prior approval in a general meeting of its shareholders, issue preference shares that are, at its option, subject to redemption provided that such preference shares may not be redeemed out of the capital of the Company unless:</w:t>
      </w:r>
    </w:p>
    <w:p>
      <w:pPr>
        <w:spacing w:after="0" w:line="16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225" w:lineRule="exact"/>
        <w:rPr>
          <w:rFonts w:ascii="Times New Roman" w:cs="Times New Roman" w:eastAsia="Times New Roman" w:hAnsi="Times New Roman"/>
          <w:sz w:val="18"/>
          <w:szCs w:val="18"/>
          <w:color w:val="auto"/>
        </w:rPr>
      </w:pPr>
    </w:p>
    <w:p>
      <w:pPr>
        <w:ind w:left="660" w:right="1160" w:hanging="4"/>
        <w:spacing w:after="0" w:line="500" w:lineRule="auto"/>
        <w:tabs>
          <w:tab w:leader="none" w:pos="9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has lodged a copy of the solvency statement with the Accounting and Corporate Regulatory Authority of Singapore. Further, the shares must be fully paid-up before they are redeemed.</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preference shares could have the effect of decreasing the trading price of Company Shares, restricting dividends on Company Shares, diluting the voting power of Company Shares, impairing the liquidation rights of Company Shares, or delaying or preventing a change in control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Company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Public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Company Class A Share at a price of $11.50 per share, subject to adjustment as discussed below, at any time commencing 30 days after the completion the Business Combination, provided in each case that the Company has an effective registration statement under the Securities Act covering the Company Class A Shares issuable upon exercise of the warrants and a current prospectus relating to them is available (or the Company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Company Class A Shares. This means that, once the warrants become exercisable, only a whole warrant may be exercised at any given time by a warrant holder. The warrants will expire five years after the completion of the Business Combination, at 5:00 p.m., New York City time, or earlier upon redemption or liquidation.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Company Class A Shares pursuant to the exercise of a warrant and will have no obligation to settle such warrant exercise unless a registration statement under the Securities Act with respect to the Company Class A Shares underlying the warrants is then effective and a prospectus relating thereto is current, subject to the Company satisfying its obligations with respect to registration. No warrant will be exercisable and the Company will not be obligated to issue Company Class A Shares upon exercise of a warrant unless the Company Class A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registration statement covering the Company Class A Shares issuable upon exercise of the warrants is not effective by the sixtieth business day after the closing of the Business Combination, warrant holders may, until such time as there is an effective registration statement and during any period when the Company has failed to maintain an effective registration statement, exercise warrants on a “cashless basis” in accordance with Section 3(a)(9) of the Securities Act or another exemption. Notwithstanding the above, if Company Class A Shares are at the time of any exercise of a warrant not listed on a national securities exchange such that they satisfy the definition of a “covered security” under Section 18(b)(1) of the Securities Act, the Company may, at the Company’s option, require holders of Company Public Warrants who exercise their warrants to do so on a “cashless basis” in accordance with Section 3(a)(9) of the Securities Act and, in the event the Company so elect, the Company will not be required to file or maintain in effect a registration statement, and in the event the Company does not so elect, the Company will use its best efforts to register or qualify the shares under applicable blue sky laws to the extent an exemption is not available. In such event, each holder would pay the exercise price by surrendering the warrants for that number of Company Class A Shares equal to the lesser of (A) the quotient obtained by dividing (x) the product of the number of Company Class A Shares underlying the warrants, multiplied by the excess of the “fair market value” (defined below) less the exercise price of the warrants by (y) the fair market value and (B) 0.361. The “fair market value” as used in this paragraph shall mean the volume weighted average price of the Company Class A Shares for the 10 trading days ending on the trading day prior to the date on which the notice of exercise is received by the warrant agent.</w:t>
      </w:r>
    </w:p>
    <w:p>
      <w:pPr>
        <w:spacing w:after="0" w:line="185" w:lineRule="exact"/>
        <w:rPr>
          <w:sz w:val="20"/>
          <w:szCs w:val="20"/>
          <w:color w:val="auto"/>
        </w:rPr>
      </w:pPr>
    </w:p>
    <w:p>
      <w:pPr>
        <w:ind w:left="660"/>
        <w:spacing w:after="0"/>
        <w:tabs>
          <w:tab w:leader="none" w:pos="8040" w:val="left"/>
        </w:tabs>
        <w:rPr>
          <w:sz w:val="20"/>
          <w:szCs w:val="20"/>
          <w:color w:val="auto"/>
        </w:rPr>
      </w:pPr>
      <w:r>
        <w:rPr>
          <w:rFonts w:ascii="Times New Roman" w:cs="Times New Roman" w:eastAsia="Times New Roman" w:hAnsi="Times New Roman"/>
          <w:sz w:val="18"/>
          <w:szCs w:val="18"/>
          <w:i w:val="1"/>
          <w:iCs w:val="1"/>
          <w:color w:val="auto"/>
        </w:rPr>
        <w:t>Redemption of warrants when the price per Company Class A Share equals or exceeds $18.00.</w:t>
      </w:r>
      <w:r>
        <w:rPr>
          <w:sz w:val="20"/>
          <w:szCs w:val="20"/>
          <w:color w:val="auto"/>
        </w:rPr>
        <w:tab/>
      </w:r>
      <w:r>
        <w:rPr>
          <w:rFonts w:ascii="Times New Roman" w:cs="Times New Roman" w:eastAsia="Times New Roman" w:hAnsi="Times New Roman"/>
          <w:sz w:val="18"/>
          <w:szCs w:val="18"/>
          <w:color w:val="auto"/>
        </w:rPr>
        <w:t>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w:t>
      </w:r>
    </w:p>
    <w:p>
      <w:pPr>
        <w:spacing w:after="0" w:line="207"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the Company Class A Shares or exceeds $18.00 per share (as adjusted for adjustments to the number of shares issuable upon exercise or the exercise price of a warrant) for any 20 trading days within a 30-trading day period ending three trading days before the Company sends the notice of redemption to the warrant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issuance of the Company Class A Shares issuable upon exercise of the warrants is then effective and a current prospectus relating to those Company Class A Shares is available throughout the 30-day redemption period. If and when the warrants become redeemable by the Company, the Company may exercise the Company’s redemption right even if they are unable to register or qualify the underlying securities for sale under all applicable state securities laws.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warrant exercise price. If the foregoing conditions are satisfied and the Company issues a notice of redemption of the warrants, each warrant holder will be entitled to exercise his, her or its warrant prior to the scheduled redemption date. However, the price of the Company Class A Shares may fall below the $18.00 redemption trigger price (as adjusted for adjustments to the number of shares issuable upon exercise or the exercise price of a warrant) as well as the $11.50 warrant exercise price after the redemption notice is issued.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Company Class A Share equals or exceeds $10.00</w:t>
      </w:r>
      <w:r>
        <w:rPr>
          <w:rFonts w:ascii="Times New Roman" w:cs="Times New Roman" w:eastAsia="Times New Roman" w:hAnsi="Times New Roman"/>
          <w:sz w:val="18"/>
          <w:szCs w:val="18"/>
          <w:color w:val="auto"/>
        </w:rPr>
        <w:t>. Once the warrants become exercisable,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warrants:</w:t>
      </w:r>
    </w:p>
    <w:p>
      <w:pPr>
        <w:spacing w:after="0" w:line="207"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 provided that holders will be able to exercise their warrants on a cashless basis prior to redemption and receive that number of shares determined by reference to the table below, based on the redemption date and the “fair market value” (as defined below) of Company Class A Shares except as otherwise described below;</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of the Company Class A Shares or exceeds $10.00 per share (as adjusted for adjustments to the number of shares issuable upon exercise or the exercise price of a warrant”) for any 20 trading days within a 30-trading day period ending three trading days before the Company sends the notice of redemption to the warrant holders.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Company Class A Shares that a warrant holder will receive upon such cashless exercise in connection with a redemption by the Company pursuant to this redemption feature, based on the “fair market value” of Company Class A Shares on the corresponding redemption date (assuming holders elect to exercise their warrants and such warrants are not redeemed for $0.10 per warrant), determined for these purposes based on volume weighted average price of Company Class A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The Company will provide the warrant holders with the final fair market value no later than one business day after the 10-trading day period described above ends.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issuable upon exercise of a warrant or the exercise price of a warrant is adjusted as set forth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share prices in the column headings will equal the unadjusted share price less the decrease in the exercise price of a warrant pursuant to such exercise price adjustment.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 (period to</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expiration of warrants)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2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17.00</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≥18.00</w:t>
            </w:r>
          </w:p>
        </w:tc>
      </w:tr>
      <w:tr>
        <w:trPr>
          <w:trHeight w:val="216"/>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0.246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0.241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0.235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0.228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0.221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0.196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0.161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0.223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0.146</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0.130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0.034</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Company Class A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Company Class A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Company Class A Shares for each whole warrant. For an example where the exact fair market value and redemption date are not as set forth in the table above, if the volume weighted average price of Company Class A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Company Class A Shares for each whole warrant. In no event will the warrants be exercisable on a cashless basis in connection with this redemption feature for more than 0.361 Company Class A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Company Class A Shares.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redemption feature is structured to allow for warrants to be redeemed when the Company Class A Shares are trading at or above $10.00 per share, which may be at a time when the trading price of Company Class A Shares is below the exercise price of the warrants. The Company have established this redemption feature to provide itself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 warrants when the price per Company Class A Share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 receive a number of shares for their warrants based on an option pricing model with a fixed volatility input as of September 29, 2022. This redemption right provides us with an additional mechanism by which to redeem all of the outstanding warrants, and therefore have certainty as to the Company’s capital structure as the warrants would no longer be outstanding and would have been exercised or redeemed and the Company will be required to pay the redemption price to warrant holders if the Company chooses to exercise this redemption right and it will allow us to quickly proceed with a redemption of the warrants if the Company determines it is in the Company’s best interest to do so. As such, the Company would redeem the warrants in this manner when the Company believes it is in the Company’s best interest to update the Company’s capital structure to remove the warrants and pay the redemption price to the warrant 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warrants when the Company Class A Shares are trading at a price starting at $10.00, which is below the exercise price of $11.50, because it will provide certainty with respect to the Company’s capital structure and cash position while providing warrant holders with the opportunity to exercise their warrants on a cashless basis for the applicable number of shares. If the Company chooses to redeem the warrants when the Company Class A Shares are trading at a price below the exercise price of the warrants, this could result in the warrant holders receiving fewer Company Class A Shares than they would have received if they had chosen to wait to exercise their warrants for Company Class A Shares if and when such Company Class A Shares were trading at a price higher than the exercise price of $11.50.</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fractional Company Class A Shares will be issued upon exercise. If, upon exercise, a holder would be entitled to receive a fractional interest in a share, the Company will round down to the nearest whole number of the number of Company Class A Shares to be issued to the holder. If, at the time of redemption, the warrants are exercisable for a security other than the Company Class A Shares pursuant to the warrant agreement, the warrants may be exercised for such security. At such time as the warrants become exercisable for a security other than the Company Class A Shares, Company (or surviving company) will use its commercially reasonable efforts to register under the Securities Act the security issuable upon exercise of the warrants.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redemption rights set forth above under “— </w:t>
      </w:r>
      <w:r>
        <w:rPr>
          <w:rFonts w:ascii="Times New Roman" w:cs="Times New Roman" w:eastAsia="Times New Roman" w:hAnsi="Times New Roman"/>
          <w:sz w:val="18"/>
          <w:szCs w:val="18"/>
          <w:i w:val="1"/>
          <w:iCs w:val="1"/>
          <w:color w:val="auto"/>
        </w:rPr>
        <w:t>Redemption of warrants when the price per Company Class A Share equals or exceeds $18.00</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Redemption of warrants when the price per Company Class A Share equals or exceeds $10.00</w:t>
      </w:r>
      <w:r>
        <w:rPr>
          <w:rFonts w:ascii="Times New Roman" w:cs="Times New Roman" w:eastAsia="Times New Roman" w:hAnsi="Times New Roman"/>
          <w:sz w:val="18"/>
          <w:szCs w:val="18"/>
          <w:color w:val="auto"/>
        </w:rPr>
        <w:t>” do not apply to the Company Private Warrants if, at the time of the redemption, such warrants are held by the Sponsor or certain permitted transferees. If the Company Private Warrants are transferred (other than to a permitted transferee), then the Company may redeem the Company Private Warrants on the same terms as the Company Public Warrants.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Maximum Percentage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Company Class A Shares outstanding immediately after giving effect to such exercise.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number of outstanding Company Class A Shares is increased by a capitalization or share dividend payable in Company Class A Shares, or by a split-up of ordinary shares or other similar event, then, on the effective date of such capitalization or share dividend, split-up or similar event, the number of Company Class A Shares issuable on exercise of each warrant will be increased in proportion to such increase in the outstanding ordinary shares. A rights offering made to all or substantially all holders of ordinary shares entitling holders to purchase Company Class A Shares at a price less than the “historical fair market value” (as defined below) will be deemed a share dividend of a number of Company Class A Shares equal to the product of</w:t>
      </w:r>
    </w:p>
    <w:p>
      <w:pPr>
        <w:spacing w:after="0" w:line="3" w:lineRule="exact"/>
        <w:rPr>
          <w:sz w:val="20"/>
          <w:szCs w:val="20"/>
          <w:color w:val="auto"/>
        </w:rPr>
      </w:pPr>
    </w:p>
    <w:p>
      <w:pPr>
        <w:jc w:val="both"/>
        <w:ind w:firstLine="8"/>
        <w:spacing w:after="0" w:line="252" w:lineRule="auto"/>
        <w:tabs>
          <w:tab w:leader="none" w:pos="2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Class A Shares actually sold in such rights offering (or issuable under any other equity securities sold in such rights offering that are convertible into or exercisable for Company Class A Shares) and (ii) one minus the quotient of (x) the price per Company Class A Share paid in such rights offering and (y) the historical fair market value. For these purposes, (i) if the rights offering is for securities convertible into or exercisable for Company Class A Shares, in determining the price payable for Company Class A Shares, there will be taken into account any consideration received for such rights, as well as any additional amount payable upon exercise or conversion and (ii) “historical fair market value” means the volume weighted average price of Company Class A Shares as reported during the 10 trading day period ending on the trading day prior to the first date on which the Company Class A Shares trade on the applicable exchange or in the applicable market, regular way, without the right to receive such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 a dividend or make a distribution in cash, securities or other assets to all or substantially all of the holders of the Company Class A Shares on account of such Company Class A Shares (or other securities into which the warrants are convertible), other than (a) as described above, or (b) any cash dividends or cash distributions which, when combined on a per share basis with all other cash dividends and cash distributions paid on the Company Class A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Company Class A Shares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Company Class A Share in respect of such event.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number of outstanding Company Class A Shares is decreased by a consolidation, combination, reverse share split or reclassification of Company Class A Shares or other similar event, then, on the effective date of such consolidation, combination, reverse share split, reclassification or similar event, the number of Company Class A Shares issuable on exercise of each warrant will be decreased in proportion to such decrease in outstanding Company Class A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the number of Company Class A Shares purchasable upon the exercise of the warrants is adjusted, as described above, the warrant exercise price will be adjusted by multiplying the warrant exercise price immediately prior to such adjustment by a fraction (x) the numerator of which will be the number of Company Class A Shares purchasable upon the exercise of the warrants immediately prior to such adjustment and (y) the denominator of which will be the number of Company Class A Shares so purchasable immediately thereafter.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Company Class A Shares (other than those described above or that solely affects the par value of such Company Class A Shares), or in the case of any merger or consolidation of us with or into another corporation (other than a consolidation or merger in which the Company are the continuing corporation and that does not result in any reclassification or reorganization of the Company’s outstanding Company Class A Shares), or in the case of any sale or conveyance to another corporation or entity of the assets or other property of us as an entirety or substantially as an entirety in connection with which the Company are dissolved, the holders of the warrants will thereafter have the right to purchase and receive, upon the basis and upon the terms and conditions specified in the warrants and in lieu of the Company Class A Shares immediately theretofore purchasable and receivable upon the exercise of the rights represented thereby, the kind and amount of Company Class A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Company Class A Shares in such a transaction is payable in the form of Company Class A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Company Public Warrants, and, solely with respect to any amendment to the terms of the Company Private Warrants, a majority of the then outstanding Company Private Warrants. You should review a copy of the warrant agreement, which has been filed as an exhibit to the Report of which this Exhibit is filed, for a complete description of the terms and conditions applicable to the warrants.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Company Class A Shares. After the issuance of Company Class A Shares upon exercise of the warrants, each holder will be entitled to one vote for each share held of record on all matters to be voted on by shareholders.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the Company will, upon exercise, round down to the nearest whole number the number of Company Class A Shares to be issued to the warrant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Private Warrants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described below, the Company Private Warrants have terms and provisions that are identical to those of the Company Public Warrants. The Company Private Warrants (including the Company Class A Shares issuable upon exercise of the Company Private Warrants) are not transferable, assignable or salable until 30 days after the completion of the Business Combination (except pursuant to limited exceptions to the Company’s officers and directors and other persons or entities affiliated with the initial purchasers of the Company Private Warrants) and they will not be redeemable by us so long as they are held by the Sponsor or its permitted transferees (except as otherwise set forth herein). The Sponsor, or its permitted transferees, has the option to exercise the Company Private Warrants on a cashless basis. If the Company Private Warrants are held by holders other than the Company’s Sponsor or its permitted transferees, the Company Private Warrants will be redeemable by the Company in all redemption scenarios and exercisable by the holders on the same basis as the Company Public Warrants.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holders of the Company Private Warrants elect to exercise them on a cashless basis, they would pay the exercise price by surrendering his, her or its warrants for that number of Company Class A Shares equal to the quotient obtained by dividing (x) the product of the number of Company Class A Shares underlying the warrants, multiplied by the excess of the “Sponsor fair market value” (defined below) over the exercise price of the warrants by</w:t>
      </w:r>
    </w:p>
    <w:p>
      <w:pPr>
        <w:spacing w:after="0" w:line="1" w:lineRule="exact"/>
        <w:rPr>
          <w:sz w:val="20"/>
          <w:szCs w:val="20"/>
          <w:color w:val="auto"/>
        </w:rPr>
      </w:pPr>
    </w:p>
    <w:p>
      <w:pPr>
        <w:jc w:val="both"/>
        <w:ind w:firstLine="8"/>
        <w:spacing w:after="0" w:line="252" w:lineRule="auto"/>
        <w:tabs>
          <w:tab w:leader="none" w:pos="2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fair market value. For these purposes, the “Sponsor fair market value” shall mean the average reported closing price of the Company Class A Shares for the 10 trading days ending on the third trading day prior to the date on which the notice of warrant exercise is sent to the warrant agent. The Company has policies in place that restrict insiders from selling the Company’s securities except during specific periods of time. Even during such periods of time when insiders will be permitted to sell the Company’s securities, an insider cannot trade in the Company’s securities if he or she is in possession of material non-public information. Accordingly, unlike public shareholders who could exercise their warrants and sell the Company Class A Shares received upon such exercise freely in the open market in order to recoup the cost of such exercise, the insiders could be significantly restricted from selling such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Class A Shares and Company Public Warrants are listed on Nasdaq under the symbol “HQ” and “HQWWW,”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Provisions of Company’s A&amp;R Constitution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Name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A&amp;R Constitution provides that the name of the corporation is “Horizon Quantum Holdings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share capital includes two classes of ordinary shares (Company Class A Shares and Company Class B Shares) of no par value as there is no concept of authorized share capital under Singapore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Company Class A Share is entitled to one vote per share and each Company Class B is entitled to three votes per share. As provided in the Company A&amp;R Constitution and the Singapore Companies Act, voting at any meeting of shareholders is by poll. Proxies need not be shareholders. There are no limitations imposed by the Company A&amp;R Constitution on the rights of non-resident or foreign shareholders to hold or exercise voting rights on Company’s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and that the shareholder may vote on any resolution before a general meeting if in accordance with the Singapore Companies Act, the share confers on the shareholder a right to vote on that resolution. Unless otherwise required by law or by the Company A&amp;R Constitution, voting on resolutions put forth at general meetings is by ordinary resolution, requiring an affirmative vote by shareholders of Company who on that date represent a simple majority of votes of all the shareholders of Company present in person or represented by proxy at the meeting and entitled to vote on the resolution.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ordinary resolution suffices, for example, for the appointment of directors. A special resolution, which is passed by a an affirmative vote by shareholders of Company who on that date represent not less than three-fourths of votes of all the shareholders of Company present in person or represented by proxy at the meeting and entitled to vote on the resolution, is necessary for certain matters under Singapore law, including voluntary winding up, amendments to Company’s constitution, a change of Company’s corporate name and a reduction in the share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shareholder entitled to attend and vote at a meeting of the company, or at a meeting of any class of shareholders of the company, shall be entitled to appoint another person or persons, whether a shareholder of the company or not, as his proxy to attend and vote instead of the shareholder at the meeting. A proxy appointed to attend and vote instead of the shareholder shall also have the same right as the shareholder to speak at the meeting, but unless the constitution of the company otherwise provides, (i) a proxy shall not be entitled to vote except on a poll, (ii) a shareholder shall not be entitled to appoint more than two proxies to attend and vote at the same meeting and (iii) where a shareholder appoints two proxies the appointment shall be invalid unless the shareholder specifies the proportions of his or her holdings to be represented by each proxy.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registered shareholder having a share capital who is a relevant intermediary (as defined under the Singapore Companies Act) may appoint more than two proxies in relation to a meeting to exercise all or any of his rights to attend and to speak and vote at the meeting, but each proxy must be appointed to exercise the rights attached to a different share or shares held by him (which number and class of shares shall be specified).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Singapore Companies Act, public companies may issue non-voting shares and shares that confer special, limited or conditional voting rights, such that the holder of a share may vote on a resolution before a general meeting of the company if, in accordance with the provisions of Section 64 of the Singapore Companies Act, the share confers on the holder a right to vote on that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Preferred Stock without Stockholder Consent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A&amp;R Constitution provides that, subject to the Singapore Companies Act, every other legislation for the time being in force concerning companies and affecting the company and its constitution, the directors may, subject to prior approval of the company in general meeting, allot and issue shares or grant options over or otherwise deal with or dispose of the same to such persons on such terms and conditions and for such consideration (if any) and at such time and subject or not to the payment of any part of the amount (if any) thereof in cash as the directors may think fit. Such approval, if granted, will lapse at the earlier of the conclusion of the next annual general meeting or the expiration of the period within which the next annual general meeting is required by law to be held (i.e., within six months after the end of each fiscal year). However, any approval may be revoked or varied by Company in a general meeting.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such shares may be issued with such preferred, deferred or other special, limited or conditional rights, or subject to such restrictions, whether as regards dividend, return of capital, voting or otherwise, or which do not confer voting rights as the directors may think fit. Preference shares may be issued which are or at the option of Company are liable to be redeemed, the terms and manner of redemption being determined by the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under the Singapore Companies Act, the Company may issue preference shares or convert any issued shares into preference shares only if there are set out in the Company A&amp;R Constitution the rights of the holders of those shares with respect to repayment of capital, participation in surplus assets and profits, cumulative or non-cumulative dividends, voting and priority of payment of capital and dividends in relation to other shares or other classes of preference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Shareholder/Stockholder Written Consent in Lieu of a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every other Singapore statute for the time being in force affecting the Company, under the Company A&amp;R Constitution, whenever the Company’s share capital is divided into different classes of shares, the special rights attached to any class may be varied or abrogated either with the consent in writing of the holders of three quarters of the voting rights of the issued shares of the class or with the sanction of a special resolution passed at a separate general meeting of the holders of the shares of the class (but not otherwise) and may be so varied or abrogated either whilst the Company is a going concern or during or in contemplation of a winding up. To every such separate general meeting, (i) the necessary quorum shall be two persons (unless all the shares of the class are held by one person whereupon the necessary quorum shall be one person) at least holding or representing by proxy or attorney at least one-third of the voting rights of the issued shares of the class and that any holder of shares of the class present in person or by proxy or by attorney may demand a poll, but where the necessary majority for such a special resolution is not obtained at such general meeting, consent in writing if obtained from the holders of three-fourths of the issued shares of the class concerned within two months of such general meeting shall be as valid and effectual as a special resolution carried at such general meeting; and (ii) where all the issued shares of the class are held by one person, the necessary quorum shall be one person and such holder of shares of the class present in person or by proxy or by attorney may demand a poll. Save for the foregoing, the Company A&amp;R Constitution does not provide for shareholders to approve resolutions by written means.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A&amp;R Constitution does not provide for a classified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Perpetual Existence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perpetual existence.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Takeovers by Interest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Re-Election of Directors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may, by ordinary resolution, remove any director before the expiration of his or her period of office, notwithstanding anything in the Company A&amp;R Constitution or in any agreement between the Company and such director. the Company may also, by an ordinary resolution, appoint another person in place of a director removed from office pursuant to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A&amp;R Constitution provides that its shareholders by ordinary resolution, or its board of directors shall have the power, at any time and from time to time, to appoint any person to be a director either to fill a casual vacancy or as an additional director, provided that the total number of directors shall not at any time be lower than the minimum number or exceed the maximum number (if any) fixed by the Company A&amp;R Constitution.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31,833,549 Company Class A Shares and 19,744,585 Company Class B Shares issued and outstanding as of the date of this prospectus. All of the Company Class A Shares issued to the shareholders of DMY in connection with the Business Combination are freely transferable by persons other than by the Sponsor and our affiliates without restriction or further registration under the Securities Act. Company Class A Shares held by certain shareholders are subject to lock-up restrictions described below. Sales of substantial amounts of the Company Class A Shares in the public market could adversely affect prevailing market price of our listed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Lock-Up Securityholders entered into the Lock-Up Agreement, pursuant to which the Lock-Up Shares are subject to lock-up during the period immediately following the Closing until the earlier of (i) the date that is 24 months after the Closing Date and (ii) the date on which the Company completes a liquidation, merger, capital share exchange, reorganization or other similar transaction that results in all of the Company’s shareholders having the right to exchange their Company Shares for cash, securities, or other property and the Company Warrants and underlying Company Shares will be subject to the Company Warrants Lock-Up Period. Prior to the Closing, the Company, Horizon, and DMY agreed to waive the lock-up restrictions on approximately 9.0% of the Company Class A Shares held by each non-affiliate shareholders. An aggregate of approximately 39,627,691 million Lock-up Shares are subject to the Share Lock-Up Period, representing approximately 76.9% of the total issued and outstanding Company Shares. An aggregate of 2,884,660 Company Private Warrants, and the underlying 2,884,660 Company Class A Shares issuable upon the exercise of the Company Private Warrants, are subject to the Warrants Lock-Up Period, representing approximately 47.7% of the issued and outstanding Company Warrants. The form of Lock-Up Agreement is attached as Exhibit 10.1 to the registration statement of which this prospectus forms a part.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material U.S. federal income tax consequences to U.S. Holders (as defined below), of an investment in the ordinary shares. This summary applies only to U.S. Holders that hold ordinary shares as capital assets within the meaning of Section 1221 of the Code (as defined below) and have the U.S. dollar as their functional currency.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discussion is based on the tax laws of the U.S. as in effect on the date of this prospectus, including the Internal Revenue Code of 1986, as amended, the “Code,” and U.S. Treasury regulations in effect or, in some cases, proposed, as of the date of this prospectus, as well as judicial and administrative interpretations thereof available on or before such date. All of the foregoing authorities are subject to change, and any such change could apply retroactively and could affect the U.S. federal income tax consequences described below. We have not sought and do not intend to seek any rulings from the IRS regarding the matters in this discussion. The statements in this prospectus are not binding on the IRS or any court, and thus we can provide no assurance that the U.S. federal income tax consequences discussed below will not be challenged by the IRS or will be sustained by a court if challenged by the IRS. Furthermore, this summary does not address any estate, gift, Medicare or alternative minimum tax consequences, any state, local or non-U.S. tax consequences or any other tax consequences other than U.S. federal income tax consequences.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investor or to persons in special tax situations such as:</w:t>
      </w:r>
    </w:p>
    <w:p>
      <w:pPr>
        <w:spacing w:after="0" w:line="162"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to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other tax deferred accounts;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hedging, constructive sale, conversion or integrated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ordinary shares pursuant to the exercise of any employee share option or otherwise as compensation;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arrangements and persons holding ordinary shares through such partnerships.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ABOUT THE APPLICATION OF THE U.S. FEDERAL TAX RULES TO THEIR PARTICULAR CIRCUMSTANCES AS WELL AS THE STATE, LOCAL AND NON- U.S. TAX CONSEQUENCES TO THEM OF THE OWNERSHIP AND DISPOSITION OF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ordinary shares that, for U.S. federal income tax purposes, is or is treated as:</w:t>
      </w:r>
    </w:p>
    <w:p>
      <w:pPr>
        <w:spacing w:after="0" w:line="22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U.S., any state thereof or the District of Columbia;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supervision of a court within the U.S. and the control of one or more U.S. persons or (2)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treatment of a partner in an entity or arrangement treated as a partnership for U.S. federal income tax purposes that holds ordinary shares generally will depend on such partner’s status and the activities of the partnership. A U.S. Holder that is a partner in such partnership should consult its tax advisor.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Ordinary Shares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described in the section entitled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anticipate declaring or paying dividends to holders of our ordinary shares in the foreseeable future. However, if we do make distributions of cash or property on our ordinary shares, and subject to the passive foreign investment company considerations discussed below, the gross amount of distributions made by us with respect to ordinary shares (including the amount of any non-U.S. taxes withheld therefrom, if any) generally will be includible as dividend income in a U.S. Holder’s gross income in the year received, to the extent such distributions are paid out of our current or accumulated earnings and profits, as determined under U.S. federal income tax principles. Because we do not maintain calculations of our earnings and profits under U.S. federal income tax principles, a U.S. Holder should expect all such distributions will be reported as dividends for U.S. federal income tax purposes. Such dividends will not be eligible for the dividends-received deduction allowed to U.S. corporations with respect to dividends received from other U.S. corporations. Dividends received by non-corporate U.S. Holders may be “qualified dividend income,” which is taxed at the lower applicable capital gains rate, provided that (1) (i) our ordinary shares are listed on and considered readily tradable on an established securities market in the U.S., or (ii) we are eligible for benefits under a comprehensive U.S. income tax treaty that includes an exchange of information program and which the U.S. Treasury Department has determined is satisfactory for these purposes, (2) we are not a passive foreign investment company (as discussed below) with respect to the U.S. Holder for either the taxable year in which the dividend was paid or the preceding taxable year, and (3) certain other requirements are met. In this regard, our ordinary shares will generally be considered to be readily tradable on an established securities market in the U.S. if they continue to be listed on Nasdaq. U.S. Holders should consult their tax advisors regarding the availability of the lower rate for dividends paid with respect to ordinary shares. As of the date hereof, there is no income tax treaty in effect between the U.S. and Singapore.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Dividends on ordinary shares generally will constitute foreign source income for foreign tax credit limitation purposes. Subject to certain complex conditions and limitations, foreign taxes withheld on any distributions on the ordinary shares may be eligible for credit against a U.S. Holder’s federal income tax liability. If a refund of the tax withheld is available under the laws of the foreign jurisdiction or under a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credit is calculated separately with respect to specific classes of income. For this purpose, dividends distributed by us with respect to ordinary shares will generally constitute “passive category income.”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U.S. Treasury regulations may restrict the availability of any such credit (or deduction in lieu thereof) based on the nature of the withholding tax imposed by the foreign jurisdiction, though under current IRS guidance taxpayers generally may elect to determine the creditability of foreign taxes without regard to such restrictions for taxable years ending prior to the year further relevant guidance is issued.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considerations discussed below, upon a sale or other taxable disposition of ordinary shares, a U.S. Holder will recognize capital gain or loss in an amount equal to the difference between the amount realized and the U.S. Holder’s adjusted tax basis in such ordinary shares. Any such gain or loss generally will be treated as long-term capital gain or loss if the U.S. Holder’s holding period in the ordinary shares exceeds one year. Non-corporate U.S. Holders (including individuals) generally will be subject to U.S. federal income tax on long-term capital gain at preferential rates. The deductibility of capital losses is subject to significant limitations. Gain or loss, if any, realized by a U.S. Holder on the sale or other disposition of ordinary shares generally will be treated as U.S. source gain or loss for U.S. foreign tax credit limitation purposes, which will generally limit the availability of foreign tax credits.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a non-U.S. corporation will be classified as a PFIC for any taxable year if either: (a) at least 75% of its gross income is “passive income” for purposes of the PFIC rules or (b) at least 50% of the value of its assets (generally determined on the basis of a quarterly average) is attributable to assets that produce or are held for the production of passive income. For this purpose, passive income generally includes interest, dividends, royalties and other investment income, with certain exceptions. For purposes of determining whether we are a PFIC, we will be treated as owning our proportionate share of the assets and earning our proportionate share of the income of any other corporation in which we own, directly or indirectly, 25% or more (by value) of the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PFIC rules, if we were considered a PFIC at any time that a U.S. Holder holds the ordinary shares, we would continue to be treated as a PFIC with respect to such U.S. Holder’s investment in those ordinary shares unless (i) we ceased to be a PFIC and (ii) the U.S. Holder made a “deemed sale” election under the PFIC rules.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determination of whether we are or will become a PFIC is a fact-intensive inquiry made on an annual basis after the close of each taxable year and that depends, in part, upon the composition of our income and assets. In addition, the application of the PFIC rules to companies with our composition of income and assets is subject to significant uncertainty. Fluctuations in the market price of our ordinary shares may cause us to become a PFIC for the current or subsequent taxable years because the value of our assets for the purpose of the second part of the test described above may be determined by reference to the market price of our ordinary shares. The composition of our income and assets may also be affected by how, and how quickly, we use our liquid assets. The IRS or a court may disagree with our determinations, including the manner in which we determine the value of our assets and the percentage of our income and assets that are passive under the PFIC rules. Therefore, there can be no assurance that we will not be a PFIC for the current taxable year or for any prior or future taxable year.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at any time that a U.S. Holder holds ordinary shares, any gain recognized by the U.S. Holder on a sale or other disposition of the ordinary shares, as well as the amount of any “excess distribution” (defined below) received by the U.S. Holder, would be allocated ratably over the U.S. Holder’s holding period for the ordinary shares. The amounts allocated to the taxable year of the sale or other disposition (or the taxable year of receipt, in the case of an excess distribution)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ordinary shares exceeds 125% of the average of the annual distributions on the ordinary shares received during the preceding three years or the U.S. Holder’s holding period, whichever is shorter. Certain elections may be available that would result in alternative treatments (such as mark-to-market treatment) of the ordinary shares if we are considered a PFIC. 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and any of our non-U.S. subsidiaries or other corporate entities in which we own equity interests are also classified as PFICs (each a “lower-tier PFIC”), such U.S. Holder would be treated as owning a proportionate amount (by value) of the shares of each such lower-tier PFIC for purposes of the application of these rules. U.S. Holders are advised to consult their tax advisors regarding the application of the PFIC rules to any lower-tier PFICs we may own.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considered a PFIC, a U.S. Holder will also be subject to annual information reporting requirements. U.S. Holders should consult their tax advisors about the potential application of the PFIC rules to an investment in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ordinary shares and proceeds from the sale, exchange or redemption of ordinary shares may be subject to information reporting to the IRS and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(and certain specified entities) that hold an interest in “specified foreign financial assets” (which may include the ordinary shares) are required to report information (on IRS From 8938) relating to such assets, subject to certain exceptions (including an exception for ordinary shares held in accounts maintained by certain financial institutions). Penalties can apply if U.S. Holders fail to satisfy such reporting requirements, and, in such circumstances, the statute of limitations for assessment of tax could be suspended, in whole or part. U.S. Holders should consult their tax advisors regarding the applicability of these requirements to their acquisition and ownership of ordinary shares.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DISCUSSION ABOVE IS A GENERAL SUMMARY. IT DOES NOT COVER ALL TAX MATTERS THAT MAY BE IMPORTANT TO YOU. EACH PROSPECTIVE PURCHASER SHOULD CONSULT ITS OWN TAX ADVISOR ABOUT THE TAX CONSEQUENCES OF AN INVESTMENT IN ORDINARY SHARES UNDER THE INVESTOR’S OWN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by either a resident or non-resident of Singapore are not subject to Singapore income tax (whether by withholding or otherwise), on the basis that we are a tax resident of Singapore and under the one-tier system.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gains considered to be in the nature of capital made from the sale of our shares will not be taxable in Singapore to the extent that they do not fall within the ambit of the new Section 10L of the Income Tax Act 1947 of Singapore (the “SITA”), which came into effect on January 1,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Subject to specified exceptions and Section 10L of the SITA, Section 13W of the SITA provides for certainty on the non-taxability of gains derived by a corporate taxpayer from the disposal of ordinary shares or preference shares that are accounted for as equity by an investee company under the applicable accounting principles (or both) on or after 1 January 2026 where:</w:t>
      </w:r>
    </w:p>
    <w:p>
      <w:pPr>
        <w:spacing w:after="0" w:line="176" w:lineRule="exact"/>
        <w:rPr>
          <w:sz w:val="20"/>
          <w:szCs w:val="20"/>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or preference shares (or both) of the company whose shares are being disposed;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above-mentioned “safe harbor rules” prescribed under Section 13W of the SITA will not apply to a divesting company under the following scenarios:</w:t>
      </w:r>
    </w:p>
    <w:p>
      <w:pPr>
        <w:spacing w:after="0" w:line="162" w:lineRule="exact"/>
        <w:rPr>
          <w:sz w:val="20"/>
          <w:szCs w:val="20"/>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divesting company whose gains or profits from the disposal of shares are included as part of its income based on the provisions of section 26 of the SITA;</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by a partnership, limited partnership and limited liability partnership one or more of the partners of which is a company or are companies;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on or after June 1, 2022 not listed on a stock exchange in Singapore or elsewhere, being shares in a company that the Singapore Comptroller of Income Tax is satisfied -</w:t>
      </w:r>
    </w:p>
    <w:p>
      <w:pPr>
        <w:spacing w:after="0" w:line="162"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business of trading immovable properties situated in Singapore or elsewhere;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carries on the activity of holding immovable properties situated (whether in Singapore or elsewhere), whereby passive or no income is derived;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undertaken property development (whether in Singapore or elsewhere), except where -</w:t>
      </w:r>
    </w:p>
    <w:p>
      <w:pPr>
        <w:spacing w:after="0" w:line="225" w:lineRule="exact"/>
        <w:rPr>
          <w:sz w:val="20"/>
          <w:szCs w:val="20"/>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undertake any property development in Singapore or elsewhere for a period of at least 60 consecutive months before the disposal of shares.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 10L of the SITA, gains received in Singapore by an entity of a relevant group from the sale or disposal of any movable or immovable property outside Singapore will be treated as income chargeable to tax under Section 10(1)(g) of the SITA under certain circumstances. Any registered shares, equity securities or securities will be deemed to be located outside Singapore if the register or principal register (if there is more than one register) is located outside Singapore regardless of where the company is incorporated. If our shares are deemed to be foreign assets, gains from their disposal will be subject to tax if an entity of a relevant group (other than an excluded entity) disposed of our shares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(i) the entities of the group are not all incorporated, registered or established in Singapore; or (ii) any entity of the group has a place of business outside Singapore. An excluded entity is defined in Section 10L of the SITA to include a pure equity-holding company or any other entity with adequate economic substance in Singapore taking into account factors enumerated in Section 10L of the SITA.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color w:val="auto"/>
        </w:rPr>
        <w:t>Investors are advised to consult their own tax advisors on the applicable tax treatment if they receive gains in Singapore from the disposal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39 - Financial Instruments: Recognition and Measurement, or FRS 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FRS 39, FRS 109 or SFRS(I) 9 (as the case may be) (as modified by the applicable provisions of Singapore income tax law) even where no sale or disposal of the shares is made.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34A of the SITA provides the tax treatment for financial instruments in accordance with FRS 39 (subject to certain exceptions and “opt-out” provisions) for taxpayers who are required to comply with FRS 39 for financial reporting purposes. The IRAS has also issued a circular titled “Income Tax Implications Arising from the Adoption of FRS 39 - Financial Instruments: Recognition and Measurement.”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FRS 109 or SFRS(I) 9 (as the case may be) is mandatorily effective for annual periods beginning on or after January 1, 2018, replacing FRS 39. Section 34AA of the SITA requires taxpayers who comply or who are required to comply with FRS 109 or SFRS(I) 9 (as the case may be) for financial reporting purposes to calculate their profit, loss or expense for Singapore income tax purposes in respect of financial instruments in accordance with FRS 109 or SFRS(I) 9 (as the case may be), subject to certain exceptions. The IRAS has also issued a circular titled “Income Tax: Income Tax Treatment Arising from Adoption of FRS 109 - Financial Instruments.”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stamp duty payable on the subscription and issuance of the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relation to a transfer of the ordinary shares, no stamp duty is payable if no instrument of transfer is executed or if the instrument of transfer is executed outside Singapore and not received in Singapore. Accordingly, stamp duty is not applicable to electronic transfers of our shares effected solely on a book entry basis outside Singapore. We therefore expect that no Singapore stamp duty will be payable where shares are acquired by U.S. holders solely in book entry form through the facility outside Singapore established by our transfer agent and registrar outside Singapore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Stamp duty will be payable if there is an instrument (including an electronic instrument) for the transfer of our shares which is either executed in Singapore or executed outside Singapore and received in Singapore.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the instrument of transfer is executed in Singapore, stamp duty must be paid within 14 days of the execution of the instrument of transfer. Where the instrument of transfer is executed outside Singapore and received in Singapore, stamp duty must be paid within 30 days of receipt of the instrument of transfer in Singapore. An electronic instrument that is executed outside Singapore is treated as received in Singapore in any of the following scenarios: (a) it is retrieved or accessed by a person in Singapore; (b) an electronic copy of it is stored on a device (including a computer) and brought into Singapore; or (c) an electronic copy of it is stored on a computer in Singapore.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the relevant deeming provisions under Section 60F of the Stamp Duties Act 1929 of Singapore are quite broad, registered holders of our shares may wish to note that an electronic document executed outside Singapore may still be deemed to be received in Singapore if the branch records are retrieved or accessed in Singapore. As it may not be practical to anticipate the circumstances where an instrument may be considered received in Singapore, investors should consult their tax advisors regarding the particular Singapore stamp duty implications for them.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Stamp duty on an instrument of transfer of shares is payable at the rate of 0.2% of the consideration for, or open market value of, the shares, whichever is higher.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Stamp duty is borne by the purchaser unless there is an agreement to the contrary.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Treaties Regarding Withholding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comprehensive agreement for the avoidance of double taxation between the U.S. and Singapore which applies to withholding taxes (if any) on dividends or capital gains.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sale of the shares by a GST-registered investor belonging in Singapore for GST purposes to another person belonging in Singapore is an exempt supply not subject to GST. Any input GST (for example, GST on brokerage) incurred by the GST-registered investor in connection with the making of an exempt supply is generally not recoverable from the Singapore Comptroller of GST and will become an additional cost to the investor unless the investor satisfies certain conditions prescribed under the Goods and Services Tax Act 1993 of Singapore or satisfies certain GST concessions.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the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(for example, GST on brokerage)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the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Services consisting of arranging, brokering, underwriting or advising on the issue, allotment or transfer of ownership of the shares rendered by a GST-registered person to an investor belonging in Singapore for GST purposes in connection with the investor’s purchase, sale or holding of the shares will be subject to GST at the standard rate, which is currently 9.0%. Similar services rendered by a GST-registered person contractually to an investor belonging outside Singapore and for the direct benefit of such an investor or a GST-registered person belonging in Singapore should generally, subject to the satisfaction of certain conditions, be subject to GST at 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Anti-Base Erosion Model Rules (Pillar Two)</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Global Anti-Base Erosion Model Rules (Pillar Two) (“BEPS Pillar 2”) rules are implemented in Singapore via the Multinational Enterprise (Minimum Tax) Act 2024 (“MMTA”). It introduces (1) the multinational enterprise top-up tax (“MTT”), and (2) the domestic top-up tax (“DTT”).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MMTA applies to a multinational enterprise (“MNE”) group for a financial year beginning on or after 1 January 2025 if its annual consolidated group revenue (determined by reference to the consolidated financial statements of its ultimate parent entity) for at least 2 financial years out of the 4 financial years immediately before that financial year is equal to or exceeds EUR 750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MTT applies to a Singapore parent entity’s ownership interest in its relevant entities outside Singapore and its stateless entities but does not apply to its ownership interest in its domestic entities. The minimum rate for MTT is 15% and the top-up amount is computed using the effective tax rate (“ETR”) that is calculated on a jurisdictional basis for an MNE group. The charging provision for MTT is found in section 12 of the MMTA, which imposes MTT on an entity if (1) the entity is a responsible member of an MNE group at any time in the financial year, (2) the MNE group is an in-scope MNE group for the financial year, (3) the entity holds an ownership interest in another constituent entity (“CE”) of the MNE group at any time in the financial year, (4) that other CE is located in a jurisdiction outside Singapore or is a stateless entity, and has a top up amount for the financial year, and (5) the entity is located in Singapore.</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DTT imposes a top-up tax on certain CEs located in Singapore to raise their ETR to at least 15%. The charging provision for the DTT is section 28 of the MMTA, which imposes DTT equivalent to the on an MNE group for a financial year if (1) the MNE group is an in-scope MNE group, (2) at least one of its CEs is located in Singapore or is: (a) a flow through entity established, formed, incorporated or registered under the laws of Singapore,</w:t>
      </w:r>
    </w:p>
    <w:p>
      <w:pPr>
        <w:spacing w:after="0" w:line="1" w:lineRule="exact"/>
        <w:rPr>
          <w:sz w:val="20"/>
          <w:szCs w:val="20"/>
          <w:color w:val="auto"/>
        </w:rPr>
      </w:pPr>
    </w:p>
    <w:p>
      <w:pPr>
        <w:ind w:firstLine="8"/>
        <w:spacing w:after="0" w:line="260" w:lineRule="auto"/>
        <w:tabs>
          <w:tab w:leader="none" w:pos="2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responsible member, and (c) a reverse hybrid entity with respect to any of its income, expenditure, profit or loss, and (3) the MNE group has a top up amount for that financial year.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In-scope MNE groups are subject to various administrative requirements. This includes registering under the MMTA, designating a Singapore CE to be a Designated Local DTT Filing Entity (“DFE”) / Designated Local GIR Filing Entity (“GFE”), submitting MTT and DTT returns, and making a GloBE information return (“GIR”) filing.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excluded entities are excluded from the MTT and DTT. While their revenue is still taken into account to determine if the MNE group is in-scope, their attributes such as their profits, losses, taxes accrued, tangible assets, and payroll expenses are excluded from the various computations under MTT and DTT including the de minimis exclusion. Further, such entities are not subject to any administrative obligations under MTT and DTT, such as the filing of a GloBE Information Return. Excluded entities include a governmental entity, an international organisation and a non-profit organisation.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 MTT and DTT regimes also provide for safe harbours that help reduce the MNE groups’ compliance burden. Where a safe harbour is elected by an MNE group for a jurisdiction, the top-up amounts for qualifying entities of the MNE group in the jurisdiction are treated as nil. Singapore currently has three safe harbours: (1) transitional CbCR Safe Harbour, (2) simplified Calculations Safe Harbour, and (3) QDMTT Safe Harbour.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may be imposed under the MMT Act where an in-scope MNE group fails to meet its obligations for MTT and DTT. As MTT and DTT rules are new, MNEs will require time to familiarize themselves with the rules. In view that some MNEs have given feedback that such rules are complex, IRAS will adopt a light touch approach for the first 3 FYs from FY 2025, if an MNE group can demonstrate that it has taken reasonable measures to ensure the correct application of the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up to 6,044,160 Company Class A Shares issuable upon the exercise of the Company Warrants. Pursuant to the terms of the Company Warrants, Company Shares will be distributed to those holders who surrender the Company Warrants and provide payment of the exercise price to us. Upon receipt of proper notice by any of the holders of the Warrants issued that such holder desires to exercise the warrant, we will, within the time allotted by the agreement governing the warrants, issue instructions to our transfer agent to issue Company Shares to the holder. If, at the time the Company Public Warrants are exercised, this registration statement is effective and the prospectus included herein is current, the Company Shares issued upon the exercise of the Company Public Warrants will be issued free of a restrictive legend. We could potentially receive up to an aggregate of US$69,507,840 from the exercise of the Company Warrants, assuming the exercise in full of all of these warrants for cash. Based on the closing price for our Class A Shares at US$13.05 on April 20, 2026, which is greater than the exercise price of US$11.50 per share pursuant to the terms of the Warrants, we believe warrant holders may exercise their Company Warrants, and, if the Company Warrants are exercised on a cash basis, we will receive proceeds from the exercise of Warrants. To the extent that we receive any net proceeds in connection with the exercise of Company Warrants, we expect to use such net proceeds for general corporate purposes.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registering the resale, from time to time, by the Selling Securityholders, or their permitted transferees, of up to (1) 2,884,660 Company Private Warrants and (2) 52,966,280 Company Class A Shares. The aggregate proceeds to the Selling Securityholders from the sale of such securities will be the purchase price of the securities less any discounts and commissions. 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Securityholders reserve the right to accept and, together with their respective agents, to reject, any proposed purchases of Registered Securities to be made directly or through agents. We will not receive any of the proceeds from the sale of the securities registered hereby by the Selling Securityholders.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covered by this prospectus that are beneficially owned by the Selling Securityholders may be offered and sold from time to time by the Selling Securityholders. Notwithstanding the foregoing, Selling Securityholders subject to our insider trading policy, and any members of their immediate families, are subject to our regular pre-clearance procedures for trading of our securities. For lock-up arrangement applicable to certain securities covered by this prospectus that are beneficially owned by the Selling Securityholders, see “</w:t>
      </w:r>
      <w:r>
        <w:rPr>
          <w:rFonts w:ascii="Times New Roman" w:cs="Times New Roman" w:eastAsia="Times New Roman" w:hAnsi="Times New Roman"/>
          <w:sz w:val="18"/>
          <w:szCs w:val="18"/>
          <w:i w:val="1"/>
          <w:iCs w:val="1"/>
          <w:color w:val="auto"/>
        </w:rPr>
        <w:t>Shares Eligible for Future Sale — Lock-up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Securityholders may also be subject to the restrictions on transfer of shares of Rule 144 of the Securities Act if such Selling Securityholder is deemed an “affiliate” of us. Persons who may be deemed to be affiliates include individuals or entities that control, are controlled by, or are under common control with, us and may include the executive officers, directors and significant shareholders of us.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“Selling Securityholders” includes pledgees, donees, transferees, assignees or other successors in interest (that receive any of the securities as a gift, distribution, or other non-sale related transfer) of the Selling Securityholders named in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and any of their permitted transferees may sell their securities offered by this prospectus on any stock exchange, market or trading facility on which the securities are traded or in private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color w:val="auto"/>
        </w:rPr>
        <w:t>The Registered Securities offered by the Selling Securityholders under this prospectus may be sold from time to time to purchasers:</w:t>
      </w:r>
    </w:p>
    <w:p>
      <w:pPr>
        <w:spacing w:after="0" w:line="225" w:lineRule="exact"/>
        <w:rPr>
          <w:sz w:val="20"/>
          <w:szCs w:val="20"/>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Securityholders;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 who may receive compensation in the form of discounts, commissions or agent’s commissions from the Selling Securityholders or the purchasers of the Registered Securities;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(including the issuance by the Selling Securityholders of derivative securities), whether the options or such other derivative securities are listed on an options exchange or otherwise;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settlement of short sales,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Registered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Registered Securities by the Selling Securityholders.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Securities may be sold in one or more transactions at:</w:t>
      </w:r>
    </w:p>
    <w:p>
      <w:pPr>
        <w:spacing w:after="0" w:line="225" w:lineRule="exact"/>
        <w:rPr>
          <w:sz w:val="20"/>
          <w:szCs w:val="20"/>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225" w:lineRule="exact"/>
        <w:rPr>
          <w:sz w:val="20"/>
          <w:szCs w:val="20"/>
          <w:color w:val="auto"/>
        </w:rPr>
      </w:pPr>
    </w:p>
    <w:p>
      <w:pPr>
        <w:ind w:left="98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securities exchange or quotation service on which the Registered Securities may be listed or quoted at the time of sale, including Nasdaq;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sales of our securities, the Selling Securityholders may enter into hedging transactions with broker-dealers or other financial institutions that, in turn, may:</w:t>
      </w:r>
    </w:p>
    <w:p>
      <w:pPr>
        <w:spacing w:after="0" w:line="162"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short sales of the securities in the course of hedging their positions;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securities short and deliver the securities to close out short positions;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securities to broker-dealers or other financial institutions that in turn may sell the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transactions with broker-dealers or other financial institutions that require the delivery to the broker-dealer or other financial institution of the securities, which the broker-dealer or other financial institution may resell;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 which a broker-dealer makes purchases as a principal for resale for its own account or through other types of transactions.</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addition, a Selling Securityholder that is an entity may elect to make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Securityholder also may transfer the securities in other circumstances, in which case the transferees, pledgees or other successors-in-interest will be the selling beneficial owners for purposes of this prospectus.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time a particular offering of the Registered Securities is made, a prospectus supplement, if required, will be distributed, which will set forth the name of the Selling Securityholders, the aggregate amount of Registered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the Registered Securities by the Selling Securityholders pursuant to this prospectus for certain periods of time for certain reasons, including if the prospectus is required to be supplemented or amended to include additional material information.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any or all of the Registered Securities under this prospectus. Further, we cannot assure you that the Selling Securityholders will not transfer, distribute, devise or gift the Registered Securities by other means not described in this prospectus. In addition, any Registered Securities covered by this prospectus that qualify for sale under Rule 144 of the Securities Act may be sold under Rule 144 rather than under this prospectus. The Registered Securities may be sold in some states only through registered or licensed brokers or dealers. In addition, in some states the Registered Securities may not be sold unless they have been registered or qualified for sale or an exemption from registration or qualification is available and complied with.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of the Registered Securities will be subject to the Exchange Act. The Exchange Act rules include, without limitation, Regulation M, which may limit the timing of purchases and sales of any of the Registered Securities by the Selling Securityholders and any other person. In addition, Regulation M may restrict the ability of any person engaged in the distribution of the Registered Securities to engage in market-making activities with respect to the particular Registered Securities being distributed. This may affect the marketability of the Registered Securities and the ability of any person or entity to engage in market-making activities with respect to the Registered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those Registered Securities being registered pursuant to the Registration Rights Agreement and PIPE Subscription Agreements, we and the Selling Securityholders have agreed to indemnify or hold harmless each other and certain related persons against certain liabilities, including certain liabilities under the Securities Act. The Selling Securityholders may also indemnify any broker or underwriter that participates in transactions involving the sale of the Registered Securities against certain liabilities, including liabilities arising under the Securities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expenses of registration, see the section titled “Use of Proceeds.”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Company Shares by the Selling Securityholders. With the exception of the SEC Registration Fee, all amounts are estimates.</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Accountants’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95" w:hanging="395"/>
        <w:spacing w:after="0"/>
        <w:tabs>
          <w:tab w:leader="none" w:pos="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60,794.03</w:t>
      </w:r>
    </w:p>
    <w:p>
      <w:pPr>
        <w:spacing w:after="0" w:line="27"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1015" w:hanging="1015"/>
        <w:spacing w:after="0"/>
        <w:tabs>
          <w:tab w:leader="none" w:pos="10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93"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agreements to which we are party with the Selling Securityholders, we have agreed to bear all expenses relating to the registration of the resale of the securities pursuant 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being represented by Ellenoff Grossman &amp; Schole LLP with respect to certain legal matters as to United States federal securities and New York State law. Certain legal matters relating to laws of the Republic of Singapore will be passed upon for us by Rajah &amp; Tann Singapore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financial statements of dMY Squared Technology Group, Inc. as of December 31, 2025 and 2024 and the related statements of operations, changes in shareholders’ deficit and cash flows for the years then ended, have been audited by WithumSmith+Brown, PC, independent registered public accounting firm, as set forth in their report thereon (which contains an emphasis of a matter relating to corporate and income tax withdrawals from the Trust Account as described in Note 1 to the financial statements, an emphasis of a matter relating to restatement of unaudited interim condensed financial statements as discussed in Note 2 to the financial statements, and an explanatory paragraph relating to substantial doubt about the ability of DMY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Horizon Quantum Computing Pte. Ltd. as of December 31, 2025 and 2024, and for each of the two years in the period ended December 31, 2025 and 2024, included in this prospectus, have been audited by PKF Littlejohn LLP, an independent registered public accounting firm, as stated in their report. Such financial statements are included in reliance upon the report of such firm given their authority as experts in accounting and auditing.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of Horizon Quantum Holdings Ltd. (formerly known as Horizon Quantum Holdings Pte. Ltd. and Rose Holdco Pte. Ltd.) as of December 31, 2025, included in this prospectus, have been audited by PKF Littlejohn LLP, an independent registered public accounting firm, as stated in their report. Such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will file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maintain an Internet website at https://investors.horizonquantum.com. Through the “Investor Relations” portal available through our website, we will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60" w:type="dxa"/>
            <w:vAlign w:val="bottom"/>
            <w:gridSpan w:val="1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120" w:type="dxa"/>
            <w:vAlign w:val="bottom"/>
          </w:tcPr>
          <w:p>
            <w:pPr>
              <w:spacing w:after="0"/>
              <w:rPr>
                <w:sz w:val="20"/>
                <w:szCs w:val="20"/>
                <w:color w:val="auto"/>
              </w:rPr>
            </w:pPr>
          </w:p>
        </w:tc>
      </w:tr>
      <w:tr>
        <w:trPr>
          <w:trHeight w:val="439"/>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tc>
        <w:tc>
          <w:tcPr>
            <w:tcW w:w="1120" w:type="dxa"/>
            <w:vAlign w:val="bottom"/>
            <w:shd w:val="clear" w:color="auto" w:fill="CCEEFF"/>
          </w:tcPr>
          <w:p>
            <w:pPr>
              <w:spacing w:after="0"/>
              <w:rPr>
                <w:sz w:val="18"/>
                <w:szCs w:val="18"/>
                <w:color w:val="auto"/>
              </w:rPr>
            </w:pPr>
          </w:p>
        </w:tc>
      </w:tr>
      <w:tr>
        <w:trPr>
          <w:trHeight w:val="176"/>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2025</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Operations for the period August 26, 2025 (inception) to December 31,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Changes in Stockholder’s Deficit for the period August 26, 2025 (inception) to December 31, 2025</w:t>
            </w:r>
          </w:p>
        </w:tc>
        <w:tc>
          <w:tcPr>
            <w:tcW w:w="10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6"/>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Cash Flows for the period August 26, 2025 (inception) to December 31,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to F-12</w:t>
            </w:r>
          </w:p>
        </w:tc>
      </w:tr>
      <w:tr>
        <w:trPr>
          <w:trHeight w:val="216"/>
        </w:trPr>
        <w:tc>
          <w:tcPr>
            <w:tcW w:w="21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101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tc>
        <w:tc>
          <w:tcPr>
            <w:tcW w:w="1120" w:type="dxa"/>
            <w:vAlign w:val="bottom"/>
            <w:shd w:val="clear" w:color="auto" w:fill="CCEEFF"/>
          </w:tcPr>
          <w:p>
            <w:pPr>
              <w:spacing w:after="0"/>
              <w:rPr>
                <w:sz w:val="18"/>
                <w:szCs w:val="18"/>
                <w:color w:val="auto"/>
              </w:rPr>
            </w:pPr>
          </w:p>
        </w:tc>
      </w:tr>
      <w:tr>
        <w:trPr>
          <w:trHeight w:val="175"/>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546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F-16</w:t>
            </w:r>
          </w:p>
        </w:tc>
      </w:tr>
      <w:tr>
        <w:trPr>
          <w:trHeight w:val="175"/>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1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2025 and 2024</w:t>
            </w:r>
          </w:p>
        </w:tc>
        <w:tc>
          <w:tcPr>
            <w:tcW w:w="29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F-18</w:t>
            </w:r>
          </w:p>
        </w:tc>
      </w:tr>
      <w:tr>
        <w:trPr>
          <w:trHeight w:val="175"/>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F-19</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F-20</w:t>
            </w:r>
          </w:p>
        </w:tc>
      </w:tr>
      <w:tr>
        <w:trPr>
          <w:trHeight w:val="175"/>
        </w:trPr>
        <w:tc>
          <w:tcPr>
            <w:tcW w:w="6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366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F-21 to F-33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tc>
        <w:tc>
          <w:tcPr>
            <w:tcW w:w="1120" w:type="dxa"/>
            <w:vAlign w:val="bottom"/>
          </w:tcPr>
          <w:p>
            <w:pPr>
              <w:spacing w:after="0"/>
              <w:rPr>
                <w:sz w:val="18"/>
                <w:szCs w:val="18"/>
                <w:color w:val="auto"/>
              </w:rPr>
            </w:pPr>
          </w:p>
        </w:tc>
      </w:tr>
      <w:tr>
        <w:trPr>
          <w:trHeight w:val="196"/>
        </w:trPr>
        <w:tc>
          <w:tcPr>
            <w:tcW w:w="101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175"/>
        </w:trPr>
        <w:tc>
          <w:tcPr>
            <w:tcW w:w="42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590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 and 2024</w:t>
            </w:r>
          </w:p>
        </w:tc>
        <w:tc>
          <w:tcPr>
            <w:tcW w:w="47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176"/>
        </w:trPr>
        <w:tc>
          <w:tcPr>
            <w:tcW w:w="101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Shareholders’ Deficit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F-39</w:t>
            </w:r>
          </w:p>
        </w:tc>
      </w:tr>
      <w:tr>
        <w:trPr>
          <w:trHeight w:val="175"/>
        </w:trPr>
        <w:tc>
          <w:tcPr>
            <w:tcW w:w="5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660" w:type="dxa"/>
            <w:vAlign w:val="bottom"/>
            <w:tcBorders>
              <w:top w:val="single" w:sz="8" w:color="CCEEFF"/>
            </w:tcBorders>
            <w:gridSpan w:val="9"/>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F-40 to F-62</w:t>
            </w:r>
          </w:p>
        </w:tc>
      </w:tr>
      <w:tr>
        <w:trPr>
          <w:trHeight w:val="675"/>
        </w:trPr>
        <w:tc>
          <w:tcPr>
            <w:tcW w:w="216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9"/>
          </w:tcPr>
          <w:p>
            <w:pPr>
              <w:jc w:val="center"/>
              <w:ind w:right="434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HORIZON QUANTUM HOLDINGS LTD. AND ITS SUBSIDIARIES</w:t>
      </w:r>
    </w:p>
    <w:p>
      <w:pPr>
        <w:sectPr>
          <w:pgSz w:w="11900" w:h="16838" w:orient="portrait"/>
          <w:cols w:equalWidth="0" w:num="1">
            <w:col w:w="9019"/>
          </w:cols>
          <w:pgMar w:left="1440" w:top="90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FOOTNOTES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period from August 26, 2025 (inception) to December 31, 2025</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71" w:name="page172"/>
    <w:bookmarkEnd w:id="1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42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2025</w:t>
            </w:r>
          </w:p>
        </w:tc>
        <w:tc>
          <w:tcPr>
            <w:tcW w:w="590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Operations for the period August 26, 2025 (inception) to December 31, 2025</w:t>
            </w:r>
          </w:p>
        </w:tc>
        <w:tc>
          <w:tcPr>
            <w:tcW w:w="26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 of Changes in Stockholder’s Deficit for the period August 26, 2025 (inception) to December 31, 2025</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Cash Flows for the period August 26, 2025 (inception) to December 31, 2025</w:t>
            </w:r>
          </w:p>
        </w:tc>
        <w:tc>
          <w:tcPr>
            <w:tcW w:w="26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176"/>
        </w:trPr>
        <w:tc>
          <w:tcPr>
            <w:tcW w:w="101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to F-12</w:t>
            </w:r>
          </w:p>
        </w:tc>
      </w:tr>
      <w:tr>
        <w:trPr>
          <w:trHeight w:val="675"/>
        </w:trPr>
        <w:tc>
          <w:tcPr>
            <w:tcW w:w="216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4"/>
          </w:tcPr>
          <w:p>
            <w:pPr>
              <w:ind w:left="1280"/>
              <w:spacing w:after="0"/>
              <w:rPr>
                <w:sz w:val="20"/>
                <w:szCs w:val="20"/>
                <w:color w:val="auto"/>
              </w:rPr>
            </w:pPr>
            <w:r>
              <w:rPr>
                <w:rFonts w:ascii="Times New Roman" w:cs="Times New Roman" w:eastAsia="Times New Roman" w:hAnsi="Times New Roman"/>
                <w:sz w:val="18"/>
                <w:szCs w:val="18"/>
                <w:color w:val="auto"/>
              </w:rPr>
              <w:t>F-3</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2" w:name="page173"/>
    <w:bookmarkEnd w:id="17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 of Horizon Quantum Holdings Ltd.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Horizon Quantum Holdings Ltd and its subsidiaries (the “Group”) as of December 31, 2025, and the related Consolidated Statements of Operations, Consolidated Statements of Stockholders’ Deficit and Consolidated Statements of Cash Flows for the period ended December 31 2025 and the related notes (collectively referred to as the “consolidated financial statements”). In our opinion, the consolidated financial statements referred to above present fairly, in all material respects, the financial position of the Group as of December 31, 2025 and the results of its operations and its cash flows for the period ended December 2025 in conformity with the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PKF Littlejohn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Registration Number 2814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7"/>
          <w:szCs w:val="17"/>
          <w:b w:val="1"/>
          <w:bCs w:val="1"/>
          <w:color w:val="auto"/>
        </w:rPr>
        <w:t>HORIZON QUANTUM HOLDINGS LTD. AND ITS SUBSIDIARIES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03" w:lineRule="exact"/>
        <w:rPr>
          <w:sz w:val="20"/>
          <w:szCs w:val="20"/>
          <w:color w:val="auto"/>
        </w:rPr>
      </w:pPr>
    </w:p>
    <w:p>
      <w:pPr>
        <w:jc w:val="center"/>
        <w:ind w:left="9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left="98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5715</wp:posOffset>
            </wp:positionV>
            <wp:extent cx="76263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263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from a shareholder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3440"/>
        <w:spacing w:after="0" w:line="260" w:lineRule="auto"/>
        <w:rPr>
          <w:sz w:val="20"/>
          <w:szCs w:val="20"/>
          <w:color w:val="auto"/>
        </w:rPr>
      </w:pPr>
      <w:r>
        <w:rPr>
          <w:rFonts w:ascii="Times New Roman" w:cs="Times New Roman" w:eastAsia="Times New Roman" w:hAnsi="Times New Roman"/>
          <w:sz w:val="18"/>
          <w:szCs w:val="18"/>
          <w:color w:val="auto"/>
        </w:rPr>
        <w:t>Ordinary share, 1 authorized; 1 issued and outstanding as of December 31, 2025 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19"/>
                <w:szCs w:val="19"/>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20,001</w:t>
            </w:r>
          </w:p>
        </w:tc>
        <w:tc>
          <w:tcPr>
            <w:tcW w:w="60" w:type="dxa"/>
            <w:vAlign w:val="bottom"/>
          </w:tcPr>
          <w:p>
            <w:pPr>
              <w:spacing w:after="0"/>
              <w:rPr>
                <w:sz w:val="19"/>
                <w:szCs w:val="19"/>
                <w:color w:val="auto"/>
              </w:rPr>
            </w:pPr>
          </w:p>
        </w:tc>
      </w:tr>
      <w:tr>
        <w:trPr>
          <w:trHeight w:val="250"/>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20,001</w:t>
            </w:r>
          </w:p>
        </w:tc>
        <w:tc>
          <w:tcPr>
            <w:tcW w:w="60" w:type="dxa"/>
            <w:vAlign w:val="bottom"/>
          </w:tcPr>
          <w:p>
            <w:pPr>
              <w:spacing w:after="0"/>
              <w:rPr>
                <w:sz w:val="21"/>
                <w:szCs w:val="2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5"/>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127,851</w:t>
            </w:r>
          </w:p>
        </w:tc>
        <w:tc>
          <w:tcPr>
            <w:tcW w:w="60" w:type="dxa"/>
            <w:vAlign w:val="bottom"/>
          </w:tcPr>
          <w:p>
            <w:pPr>
              <w:spacing w:after="0"/>
              <w:rPr>
                <w:sz w:val="24"/>
                <w:szCs w:val="24"/>
                <w:color w:val="auto"/>
              </w:rPr>
            </w:pPr>
          </w:p>
        </w:tc>
      </w:tr>
      <w:tr>
        <w:trPr>
          <w:trHeight w:val="245"/>
        </w:trPr>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127,851</w:t>
            </w:r>
          </w:p>
        </w:tc>
        <w:tc>
          <w:tcPr>
            <w:tcW w:w="60" w:type="dxa"/>
            <w:vAlign w:val="bottom"/>
          </w:tcPr>
          <w:p>
            <w:pPr>
              <w:spacing w:after="0"/>
              <w:rPr>
                <w:sz w:val="21"/>
                <w:szCs w:val="21"/>
                <w:color w:val="auto"/>
              </w:rPr>
            </w:pPr>
          </w:p>
        </w:tc>
      </w:tr>
      <w:tr>
        <w:trPr>
          <w:trHeight w:val="250"/>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127,851</w:t>
            </w:r>
          </w:p>
        </w:tc>
        <w:tc>
          <w:tcPr>
            <w:tcW w:w="60" w:type="dxa"/>
            <w:vAlign w:val="bottom"/>
          </w:tcPr>
          <w:p>
            <w:pPr>
              <w:spacing w:after="0"/>
              <w:rPr>
                <w:sz w:val="21"/>
                <w:szCs w:val="21"/>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248"/>
        </w:trPr>
        <w:tc>
          <w:tcPr>
            <w:tcW w:w="3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(107,851)</w:t>
            </w:r>
          </w:p>
        </w:tc>
      </w:tr>
    </w:tbl>
    <w:p>
      <w:pPr>
        <w:spacing w:after="0" w:line="3" w:lineRule="exact"/>
        <w:rPr>
          <w:sz w:val="20"/>
          <w:szCs w:val="20"/>
          <w:color w:val="auto"/>
        </w:rPr>
      </w:pPr>
    </w:p>
    <w:p>
      <w:pPr>
        <w:sectPr>
          <w:pgSz w:w="11900" w:h="16838" w:orient="portrait"/>
          <w:cols w:equalWidth="0" w:num="2">
            <w:col w:w="9220" w:space="720"/>
            <w:col w:w="13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(107,850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9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AUGUST 26, 2025 (INCEPTION)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THROUGH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August 26 to</w:t>
            </w:r>
          </w:p>
        </w:tc>
      </w:tr>
      <w:tr>
        <w:trPr>
          <w:trHeight w:val="216"/>
        </w:trPr>
        <w:tc>
          <w:tcPr>
            <w:tcW w:w="7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0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7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(107,851)</w:t>
            </w:r>
          </w:p>
        </w:tc>
      </w:tr>
      <w:tr>
        <w:trPr>
          <w:trHeight w:val="210"/>
        </w:trPr>
        <w:tc>
          <w:tcPr>
            <w:tcW w:w="70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9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3"/>
              </w:rPr>
              <w: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(107,851)</w:t>
            </w:r>
          </w:p>
        </w:tc>
        <w:tc>
          <w:tcPr>
            <w:tcW w:w="100" w:type="dxa"/>
            <w:vAlign w:val="bottom"/>
            <w:shd w:val="clear" w:color="auto" w:fill="CCEEFF"/>
          </w:tcPr>
          <w:p>
            <w:pPr>
              <w:spacing w:after="0"/>
              <w:rPr>
                <w:sz w:val="18"/>
                <w:szCs w:val="18"/>
                <w:color w:val="auto"/>
              </w:rPr>
            </w:pPr>
          </w:p>
        </w:tc>
      </w:tr>
      <w:tr>
        <w:trPr>
          <w:trHeight w:val="237"/>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2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3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(107,851)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for the period is S$(107,851).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ind w:left="2920"/>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DEFICIT</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 THE PERIOD AUGUST 26, 2025 (INCEPTION) THROUGH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9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20"/>
                <w:szCs w:val="20"/>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80" w:type="dxa"/>
            <w:vAlign w:val="bottom"/>
          </w:tcPr>
          <w:p>
            <w:pPr>
              <w:spacing w:after="0"/>
              <w:rPr>
                <w:sz w:val="21"/>
                <w:szCs w:val="21"/>
                <w:color w:val="auto"/>
              </w:rPr>
            </w:pP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26, 2025 (inception)</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ordinary shares</w:t>
            </w:r>
          </w:p>
        </w:tc>
        <w:tc>
          <w:tcPr>
            <w:tcW w:w="9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(107,851)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(107,851)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(107,851</w:t>
            </w:r>
          </w:p>
        </w:tc>
        <w:tc>
          <w:tcPr>
            <w:tcW w:w="220" w:type="dxa"/>
            <w:vAlign w:val="bottom"/>
            <w:vMerge w:val="continue"/>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(107,850</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center"/>
        <w:ind w:left="340" w:right="2140"/>
        <w:spacing w:after="0" w:line="268" w:lineRule="auto"/>
        <w:rPr>
          <w:sz w:val="20"/>
          <w:szCs w:val="20"/>
          <w:color w:val="auto"/>
        </w:rPr>
      </w:pPr>
      <w:r>
        <w:rPr>
          <w:rFonts w:ascii="Times New Roman" w:cs="Times New Roman" w:eastAsia="Times New Roman" w:hAnsi="Times New Roman"/>
          <w:sz w:val="18"/>
          <w:szCs w:val="18"/>
          <w:b w:val="1"/>
          <w:bCs w:val="1"/>
          <w:color w:val="auto"/>
        </w:rPr>
        <w:t>HORIZON QUANTUM HOLDINGS LTD. AND ITS SUBSIDIARIES CONSOLIDATED STATEMENT OF CASH FLOWS FOR THE PERIOD AUGUST 26, 2025 (INCEPTION) THROUGH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August 26 to</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5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72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 shareholder</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3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127,851</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w:t>
            </w:r>
          </w:p>
        </w:tc>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34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vMerge w:val="continue"/>
          </w:tcPr>
          <w:p>
            <w:pPr>
              <w:spacing w:after="0"/>
              <w:rPr>
                <w:sz w:val="19"/>
                <w:szCs w:val="19"/>
                <w:color w:val="auto"/>
              </w:rPr>
            </w:pPr>
          </w:p>
        </w:tc>
        <w:tc>
          <w:tcPr>
            <w:tcW w:w="34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372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b w:val="1"/>
                <w:bCs w:val="1"/>
                <w:color w:val="auto"/>
              </w:rPr>
              <w:t>S$</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65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Horizon Quantum Holdings Ltd. (formerly known as Rose Holdco Pte. Ltd.) (the “Company”) was incorporated in the Republic of Singapore on August 26, 2025. The company was formed for the purpose of effecting a merger between Horizon Quantum Computing Pte. Ltd. (“Horizon”), dMY Squared Technology Group, Inc. (“dMY”) and certain other affiliated entities through a series of transactions (the “Business Combination”) and it has not conducted any activities other those incidental to its formation and the transactions contemplated by the business combination agreement. As a result of the Business Combination, Horizon will become a wholly-owned, direct subsidiary of the Company.</w:t>
      </w:r>
    </w:p>
    <w:p>
      <w:pPr>
        <w:spacing w:after="0" w:line="179" w:lineRule="exact"/>
        <w:rPr>
          <w:rFonts w:ascii="Times New Roman" w:cs="Times New Roman" w:eastAsia="Times New Roman" w:hAnsi="Times New Roman"/>
          <w:sz w:val="18"/>
          <w:szCs w:val="18"/>
          <w:b w:val="1"/>
          <w:bCs w:val="1"/>
          <w:color w:val="auto"/>
        </w:rPr>
      </w:pPr>
    </w:p>
    <w:p>
      <w:pPr>
        <w:ind w:left="340" w:right="6220" w:hanging="332"/>
        <w:spacing w:after="0" w:line="503" w:lineRule="auto"/>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include the accounts of the Company and its wholly owned subsidiaries, Rose Acquisition Pte. Ltd. and Horizon Merger Sub 2, Inc. All significant intercompany accounts and transactions have been eliminated in consolidation.</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financial statements are presented in Singapore dollars, denoted as S$, which is also the Company’s functional currency and have been prepared in accordance with accounting principles generally accepted in the United States of America (“GAAP”) and pursuant to the accounting rules and regulations of the SEC. References to GAAP issued by the FASB in these accompanying notes to the financial statements are to the FASB Accounting Standards Codification (“ASC”).</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paid represent refundable amounts advanced to vendors in connection with certain contractual arrangements. These deposits are intended to secure the Company’s obligations under the related arrangements and are refundable upon the termination of the agreements and do not represent prepaid consideration for services received.</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Receivables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Receivables due from a shareholder are recognized when the Company has a contractual or legal right to receive cash or other consideration from a shareholder. They are classified as current assets on the statement of financial position based on the terms. Receivables are recognized at transaction value less allowance for credit losses. The Company adopted the Current Expected Credit Losses (“CECL”) guidance effective January 1, 2023. The Company maintains the allowance for estimated losses resulting from the inability of the Company’s customers to make required payments. The allowance represents the carrying value less estimated losses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The allowance for credit losses were not significant as of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and advisory fees in connection with the Business Combination and company formation related activities. These are expensed as incurred and included within operating expenses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 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The Company’s CODM is the President, who has ultimate responsibility for the operating performance of the Company and the allocation of resources. The CODM uses cash flows as the primary measure to manage the business and does not segment the business for internal reporting or decision making.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and notes receivables. Cash accounts in a financial institution may at times exceed the Federal Depository Insurance Corporation limit. There was no cash and cash equivalent balance as at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recently issued accounting pronouncements and has determined that none are expected to have a material impact on its financial statements. The Company will adopt new standards on their respective effective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assets consist of receivables due from a shareholder while liabilities consist of payables that qualify as financial instruments under ASC 820, “Fair Value Measurements and Disclosure”. The receivables and payables approximate fair value because of the short-term nature of the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from August 26, 2025 (inception) through December 31, 2025, the Company has not generated revenue and reported a net loss of S$107,851. As of December 31, 2025, the Company had an aggregate cash of $-0- and a net working capital deficit of S$107,851.</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assesses its liquidity in terms of its ability to generate adequate amounts of cash to meet current and future needs. Its expected primary uses of cash on a short and long-term basis are for working capital requirements, business acquisitions and other liquidity needs. The Company’s management expects that future operating losses and negative operating cash flows may increase from historical levels because of additional costs and expenses related to the business operations. As previously disclosed, these conditions raised substantial doubt about the Company’s ability to continue as a going concern within one year after the date that the financial statements were issued.</w:t>
      </w:r>
    </w:p>
    <w:p>
      <w:pPr>
        <w:spacing w:after="0" w:line="18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primary objective of the Company’s capital management is to ensure that it maintains sound capital position in order to support its business and maximize shareholder’s value. On March 19, 2026, the Company consummated the previously announced business combination (the “Business Combination”) with dMY Squared Technology Group, Inc. (“dMY”). Upon closing of the Business Combination, the Company will continue as the holding company of the group and will be a publicly traded entity. The closing of the Business Combination provides the group with gross proceeds of approximately US$120 million, consisting of funds held in dMY’s trust account (after redemptions) and proceeds from a concurrent PIPE financing. Accordingly, management has concluded that the conditions that previously raised substantial doubt about the Company’s ability to continue as a going concern has been alleviated.</w:t>
      </w:r>
    </w:p>
    <w:p>
      <w:pPr>
        <w:spacing w:after="0" w:line="1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Company’s timing of the consummation of the Business Combination. In order to finance these opportunities, the Company will need to raise additional financing. While there can be no assurances, the Company intends to raise such capital through issuances of additional common units. If additional financing is required from outside sources, the Company may not be able to raise such capital on terms acceptable to the Company or at all. If the Company is unable to raise additional capital when desired, the Company’s business, results of operations and financial condition would be materially and adversely affected.</w:t>
      </w:r>
    </w:p>
    <w:p>
      <w:pPr>
        <w:spacing w:after="0" w:line="179" w:lineRule="exact"/>
        <w:rPr>
          <w:sz w:val="20"/>
          <w:szCs w:val="20"/>
          <w:color w:val="auto"/>
        </w:rPr>
      </w:pPr>
    </w:p>
    <w:p>
      <w:pPr>
        <w:ind w:left="340" w:right="7940" w:hanging="332"/>
        <w:spacing w:after="0" w:line="532" w:lineRule="auto"/>
        <w:tabs>
          <w:tab w:leader="none" w:pos="3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Due from Shareholder</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Company had an amount receivable from a shareholder of S$1, which is presented as current assets on the accompanying balance sheet. The receivable is non-interest-bearing and due on demand.</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Related Party Liabilities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Company had S$127,851 payable to Horizon Quantum Computing Pte. Ltd., an operating entity that is under common control with the Company. The entity is not consolidated in the Company’s consolidated financial statements as the Company did not have a controlling financial interest during the periods presented. The amounts payable represent working capital support in connection with the Business Combination and company formation related activities. Upon consummation of the Business Combination, the related party is expected to become a consolidated subsidiary of the Company and the related party balances are expected to be eliminated in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203" w:lineRule="exact"/>
        <w:rPr>
          <w:sz w:val="20"/>
          <w:szCs w:val="20"/>
          <w:color w:val="auto"/>
        </w:rPr>
      </w:pPr>
    </w:p>
    <w:p>
      <w:pPr>
        <w:ind w:left="340" w:right="8580" w:hanging="332"/>
        <w:spacing w:after="0" w:line="503" w:lineRule="auto"/>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Ordinary Shares</w:t>
      </w: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authorized share capital of the Company consists of 1 ordinary share with a total share value of S$1. The holder of ordinary share is entitled to receive dividends as declared from time to time and is entitled to one vote per share at meetings of the Company. All ordinary shares rank equally with regard to the Company’s residual assets.</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normal course of business, the Company may become involved in various lawsuits and legal proceedings. While the ultimate results of these matters cannot be predicted with certainty, management does not expect them to have a material adverse effect on the financial position or results of operations of the Company.</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from December 31, 2025, the date of these financial statements, through the date on which the financial statements were issued (the “Issuance Date”), for events requiring recording or disclosure in the financial statements as of and for the year ended December 31, 2025. The Company concluded that no events have occurred that would require recognition or disclosure in the financial statements, except as described below.</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19, 2026, the Company consummated the previously announced business combination (the “Business Combination”) with dMY Squared Technology Group, Inc. (“dMY”). Upon closing of the Business Combination, the Company will continue as the holding company of the group and will be a publicly traded entity. On March 20, 2026, the Company’s Class A ordinary shares and warrants commenced trading on Nasdaq under the ticker symbols “HQ” and “HQWWW” respectively. The Closing of the Business Combination provides the group with gross proceeds of approximately US$120 million, consisting of funds held in dMY’s trust account (after redemptions) and proceeds from a concurrent PIPE financing.</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2026, the Company and IonQ Quantum, Inc (“IonQ”) entered into a Quantum Systems Agreement, pursuant to which, the Company purchased, among other things, a dedicated trapped-ion quantum computing system from IonQ for an aggregate consideration of US$35 million. IonQ will procure, construct, install, and verify a trapped-ion quantum computing system meeting specified performance benchmarks and install it in a data center designated and operated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7"/>
          <w:szCs w:val="17"/>
          <w:b w:val="1"/>
          <w:bCs w:val="1"/>
          <w:color w:val="auto"/>
        </w:rPr>
        <w:t>HORIZON QUANTUM COMPUTING PTE. LTD.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FOOTNOTES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45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Report of Independent Registered Public Accounting Firm</w:t>
            </w:r>
          </w:p>
        </w:tc>
        <w:tc>
          <w:tcPr>
            <w:tcW w:w="560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F-15</w:t>
            </w:r>
          </w:p>
        </w:tc>
      </w:tr>
      <w:tr>
        <w:trPr>
          <w:trHeight w:val="176"/>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Balance Sheets as of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F-16</w:t>
            </w:r>
          </w:p>
        </w:tc>
      </w:tr>
      <w:tr>
        <w:trPr>
          <w:trHeight w:val="20"/>
        </w:trPr>
        <w:tc>
          <w:tcPr>
            <w:tcW w:w="23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Operations for the years ended December 31, 2025 and 2024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F-17</w:t>
            </w:r>
          </w:p>
        </w:tc>
      </w:tr>
      <w:tr>
        <w:trPr>
          <w:trHeight w:val="21"/>
        </w:trPr>
        <w:tc>
          <w:tcPr>
            <w:tcW w:w="230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Comprehensive Loss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F-18</w:t>
            </w:r>
          </w:p>
        </w:tc>
      </w:tr>
      <w:tr>
        <w:trPr>
          <w:trHeight w:val="21"/>
        </w:trPr>
        <w:tc>
          <w:tcPr>
            <w:tcW w:w="23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Consolidated Statements of Changes in Stockholder’s Equity for the years ended December 31, 2025 and 2024</w:t>
            </w:r>
          </w:p>
        </w:tc>
        <w:tc>
          <w:tcPr>
            <w:tcW w:w="16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F-19</w:t>
            </w:r>
          </w:p>
        </w:tc>
      </w:tr>
      <w:tr>
        <w:trPr>
          <w:trHeight w:val="175"/>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Consolidated Statements of Cash Flows for the years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F-20</w:t>
            </w:r>
          </w:p>
        </w:tc>
      </w:tr>
      <w:tr>
        <w:trPr>
          <w:trHeight w:val="21"/>
        </w:trPr>
        <w:tc>
          <w:tcPr>
            <w:tcW w:w="230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F-21 to F-33</w:t>
            </w:r>
          </w:p>
        </w:tc>
      </w:tr>
      <w:tr>
        <w:trPr>
          <w:trHeight w:val="655"/>
        </w:trPr>
        <w:tc>
          <w:tcPr>
            <w:tcW w:w="2300" w:type="dxa"/>
            <w:vAlign w:val="bottom"/>
            <w:tcBorders>
              <w:top w:val="single" w:sz="8" w:color="0000EE"/>
              <w:bottom w:val="single" w:sz="8" w:color="auto"/>
            </w:tcBorders>
          </w:tcPr>
          <w:p>
            <w:pPr>
              <w:spacing w:after="0"/>
              <w:rPr>
                <w:sz w:val="24"/>
                <w:szCs w:val="24"/>
                <w:color w:val="auto"/>
              </w:rPr>
            </w:pPr>
          </w:p>
        </w:tc>
        <w:tc>
          <w:tcPr>
            <w:tcW w:w="2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280" w:type="dxa"/>
            <w:vAlign w:val="bottom"/>
            <w:tcBorders>
              <w:top w:val="single" w:sz="8" w:color="CCEEFF"/>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 of Horizon Quantum Computing Pte. Limited and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Horizon Quantum Computing Pte. Ltd and its subsidiary (the “Group”) as of December 31, 2025, and the related Consolidated Statements of Operations and Comprehensive Loss, Consolidated Statements of Stockholders’ Equity and Consolidated Statements of Cash Flows for each of the two years in the period ended December 31 2025 and the related notes (collectively referred to as the “consolidated financial statements”). In our opinion, the consolidated financial statements referred to above present fairly, in all material respects, the financial position of the Group as of December 31, 2025 and the results of its operations and its cash flows for the period ended December 2025 in conformity with the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Group is not required to have, nor were we engaged to perform, an audit of its internal control over financial reporting.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PKF Littlejohn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Registration Number 2814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6,624,506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286,677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222,939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1,242,134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959,760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746,372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8,016,640</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1,246,437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969,311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3,019,348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4,121,089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3,204,829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34,353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29,018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22,566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735,067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591,491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459,982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95,096</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225,181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175,115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11,900,504</w:t>
            </w:r>
          </w:p>
        </w:tc>
        <w:tc>
          <w:tcPr>
            <w:tcW w:w="240" w:type="dxa"/>
            <w:vAlign w:val="bottom"/>
          </w:tcPr>
          <w:p>
            <w:pPr>
              <w:spacing w:after="0"/>
              <w:rPr>
                <w:sz w:val="24"/>
                <w:szCs w:val="24"/>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6,213,216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4,831,803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 SAFE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8,238,603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6,406,878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702,609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3,346,689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2,602,604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356,611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509,248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396,025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1,059,220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12,094,540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9,405,507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 current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452,014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114,344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88,921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1,511,234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12,208,884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9,494,428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Seed Preferred Shares, 2,500,000 authorized; 2,500,000 issued and outstanding as of December 31,</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894,315</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Seed Plus Preferred Shares, 2,936,828 authorized; 2,936,828 issued and outstanding as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3,349,184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3,349,184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2,604,545</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Shares, 2,586,522 authorized; 2,586,522 issued and outstanding as of December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and December 31,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24,362,849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24,362,849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18,946,146</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8,000,000 authorized; 8,000,000 issued and outstanding as of December 31, 2024</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3,011,966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9,538,520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7,417,777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(21,480,142)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(44,545,818)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(34,641,744)</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144,597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112,448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10,389,270</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(5,995,668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(4,662,625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11,900,504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6,213,216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4,831,803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38,883</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3,458,218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10,696,318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8,318,157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986,566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1,785,364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1,388,416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2,911,370</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8,572,643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6,666,648</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855,249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1,053,012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818,891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8,211,403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22,107,337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17,192,112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(7,851,403)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(22,057,337)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(17,153,229)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(49,457)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(11,954)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124,085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107,142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83,321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(658,218)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(511,873)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293,601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(445,309)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(346,301)</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(7,483,174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(23,065,676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(17,937,378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shares outstanding, Ordinary and Preferred shares combined,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16,023,350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16,023,350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16,023,350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net (loss) income per Ordinary and Preferred shares combined, Basic and diluted</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(0.47)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(7,483,174)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(23,065,676)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(17,937,378)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(17,185)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154,184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119,904</w:t>
            </w:r>
          </w:p>
        </w:tc>
        <w:tc>
          <w:tcPr>
            <w:tcW w:w="80" w:type="dxa"/>
            <w:vAlign w:val="bottom"/>
            <w:shd w:val="clear" w:color="auto" w:fill="CCEEFF"/>
          </w:tcPr>
          <w:p>
            <w:pPr>
              <w:spacing w:after="0"/>
              <w:rPr>
                <w:sz w:val="21"/>
                <w:szCs w:val="21"/>
                <w:color w:val="auto"/>
              </w:rPr>
            </w:pP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(7,500,359</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(22,911,492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(17,817,474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right="20" w:hanging="161"/>
        <w:spacing w:after="0" w:line="234" w:lineRule="auto"/>
        <w:rPr>
          <w:sz w:val="20"/>
          <w:szCs w:val="20"/>
          <w:color w:val="auto"/>
        </w:rPr>
      </w:pPr>
      <w:r>
        <w:rPr>
          <w:rFonts w:ascii="Times New Roman" w:cs="Times New Roman" w:eastAsia="Times New Roman" w:hAnsi="Times New Roman"/>
          <w:sz w:val="14"/>
          <w:szCs w:val="14"/>
          <w:b w:val="1"/>
          <w:bCs w:val="1"/>
          <w:color w:val="auto"/>
        </w:rPr>
        <w:t>Balance as at January 1, 2024</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4"/>
          <w:szCs w:val="14"/>
          <w:color w:val="auto"/>
        </w:rPr>
        <w:t>Translation adjustment Shared-based payment</w:t>
      </w:r>
    </w:p>
    <w:p>
      <w:pPr>
        <w:ind w:left="180"/>
        <w:spacing w:after="0" w:line="222" w:lineRule="auto"/>
        <w:rPr>
          <w:sz w:val="20"/>
          <w:szCs w:val="20"/>
          <w:color w:val="auto"/>
        </w:rPr>
      </w:pPr>
      <w:r>
        <w:rPr>
          <w:rFonts w:ascii="Times New Roman" w:cs="Times New Roman" w:eastAsia="Times New Roman" w:hAnsi="Times New Roman"/>
          <w:sz w:val="14"/>
          <w:szCs w:val="14"/>
          <w:color w:val="auto"/>
        </w:rPr>
        <w:t>reserve</w:t>
      </w:r>
    </w:p>
    <w:p>
      <w:pPr>
        <w:spacing w:after="0"/>
        <w:rPr>
          <w:sz w:val="20"/>
          <w:szCs w:val="20"/>
          <w:color w:val="auto"/>
        </w:rPr>
      </w:pPr>
      <w:r>
        <w:rPr>
          <w:rFonts w:ascii="Times New Roman" w:cs="Times New Roman" w:eastAsia="Times New Roman" w:hAnsi="Times New Roman"/>
          <w:sz w:val="14"/>
          <w:szCs w:val="14"/>
          <w:color w:val="auto"/>
        </w:rPr>
        <w:t>Loss for the year</w:t>
      </w:r>
    </w:p>
    <w:p>
      <w:pPr>
        <w:spacing w:after="0" w:line="11" w:lineRule="exact"/>
        <w:rPr>
          <w:sz w:val="20"/>
          <w:szCs w:val="20"/>
          <w:color w:val="auto"/>
        </w:rPr>
      </w:pPr>
    </w:p>
    <w:p>
      <w:pPr>
        <w:ind w:left="180" w:hanging="161"/>
        <w:spacing w:after="0" w:line="243" w:lineRule="auto"/>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66"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4"/>
          <w:szCs w:val="14"/>
          <w:color w:val="auto"/>
        </w:rPr>
        <w:t>Translation adjustment Shared-based payment</w:t>
      </w:r>
    </w:p>
    <w:p>
      <w:pPr>
        <w:ind w:left="180"/>
        <w:spacing w:after="0" w:line="222" w:lineRule="auto"/>
        <w:rPr>
          <w:sz w:val="20"/>
          <w:szCs w:val="20"/>
          <w:color w:val="auto"/>
        </w:rPr>
      </w:pPr>
      <w:r>
        <w:rPr>
          <w:rFonts w:ascii="Times New Roman" w:cs="Times New Roman" w:eastAsia="Times New Roman" w:hAnsi="Times New Roman"/>
          <w:sz w:val="14"/>
          <w:szCs w:val="14"/>
          <w:color w:val="auto"/>
        </w:rPr>
        <w:t>reserve</w:t>
      </w:r>
    </w:p>
    <w:p>
      <w:pPr>
        <w:spacing w:after="0"/>
        <w:rPr>
          <w:sz w:val="20"/>
          <w:szCs w:val="20"/>
          <w:color w:val="auto"/>
        </w:rPr>
      </w:pPr>
      <w:r>
        <w:rPr>
          <w:rFonts w:ascii="Times New Roman" w:cs="Times New Roman" w:eastAsia="Times New Roman" w:hAnsi="Times New Roman"/>
          <w:sz w:val="14"/>
          <w:szCs w:val="14"/>
          <w:color w:val="auto"/>
        </w:rPr>
        <w:t>Loss for the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2025 (USD)</w:t>
      </w:r>
    </w:p>
    <w:p>
      <w:pPr>
        <w:spacing w:after="0" w:line="20" w:lineRule="exact"/>
        <w:rPr>
          <w:sz w:val="20"/>
          <w:szCs w:val="20"/>
          <w:color w:val="auto"/>
        </w:rPr>
      </w:pPr>
      <w:r>
        <w:rPr>
          <w:sz w:val="20"/>
          <w:szCs w:val="20"/>
          <w:color w:val="auto"/>
        </w:rPr>
        <w:br w:type="column"/>
      </w:r>
    </w:p>
    <w:p>
      <w:pPr>
        <w:jc w:val="center"/>
        <w:ind w:left="1120" w:right="1740"/>
        <w:spacing w:after="0" w:line="291" w:lineRule="auto"/>
        <w:rPr>
          <w:sz w:val="20"/>
          <w:szCs w:val="20"/>
          <w:color w:val="auto"/>
        </w:rPr>
      </w:pPr>
      <w:r>
        <w:rPr>
          <w:rFonts w:ascii="Times New Roman" w:cs="Times New Roman" w:eastAsia="Times New Roman" w:hAnsi="Times New Roman"/>
          <w:sz w:val="17"/>
          <w:szCs w:val="17"/>
          <w:b w:val="1"/>
          <w:bCs w:val="1"/>
          <w:color w:val="auto"/>
        </w:rPr>
        <w:t>HORIZON QUANTUM COMPUTING PTE. LTD. AND SUBSIDIARY CONSOLIDATED STATEMENTS OF STOCKHOLDERS’ EQUITY FOR THE YEARS ENDED DECEMBER 31, 2025 and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Seed Preference</w:t>
            </w:r>
          </w:p>
        </w:tc>
        <w:tc>
          <w:tcPr>
            <w:tcW w:w="14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Seed Plus Preference</w:t>
            </w:r>
          </w:p>
        </w:tc>
        <w:tc>
          <w:tcPr>
            <w:tcW w:w="15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 Preference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6"/>
        </w:trPr>
        <w:tc>
          <w:tcPr>
            <w:tcW w:w="1480" w:type="dxa"/>
            <w:vAlign w:val="bottom"/>
            <w:gridSpan w:val="4"/>
            <w:vMerge w:val="continue"/>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6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paid-</w:t>
            </w:r>
            <w:r>
              <w:rPr>
                <w:rFonts w:ascii="Times New Roman" w:cs="Times New Roman" w:eastAsia="Times New Roman" w:hAnsi="Times New Roman"/>
                <w:sz w:val="14"/>
                <w:szCs w:val="14"/>
                <w:b w:val="1"/>
                <w:bCs w:val="1"/>
                <w:color w:val="auto"/>
              </w:rPr>
              <w:t>in</w:t>
            </w:r>
          </w:p>
        </w:tc>
        <w:tc>
          <w:tcPr>
            <w:tcW w:w="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3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continue"/>
          </w:tcPr>
          <w:p>
            <w:pPr>
              <w:spacing w:after="0"/>
              <w:rPr>
                <w:sz w:val="15"/>
                <w:szCs w:val="15"/>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3"/>
        </w:trPr>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7"/>
                <w:szCs w:val="17"/>
                <w:color w:val="auto"/>
              </w:rPr>
            </w:pPr>
          </w:p>
        </w:tc>
        <w:tc>
          <w:tcPr>
            <w:tcW w:w="720" w:type="dxa"/>
            <w:vAlign w:val="bottom"/>
            <w:gridSpan w:val="2"/>
          </w:tcPr>
          <w:p>
            <w:pPr>
              <w:jc w:val="center"/>
              <w:ind w:right="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capital</w:t>
            </w:r>
          </w:p>
        </w:tc>
        <w:tc>
          <w:tcPr>
            <w:tcW w:w="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7"/>
                <w:szCs w:val="17"/>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2,500,000</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1,150,000</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2,936,828</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3,349,184</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2,586,522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24,362,849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8,000,000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5,000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2,852,525</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7,598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(13,996,968)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17,730,188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(17,185)</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(17,185)</w:t>
            </w:r>
          </w:p>
        </w:tc>
        <w:tc>
          <w:tcPr>
            <w:tcW w:w="0" w:type="dxa"/>
            <w:vAlign w:val="bottom"/>
          </w:tcPr>
          <w:p>
            <w:pPr>
              <w:spacing w:after="0"/>
              <w:rPr>
                <w:sz w:val="1"/>
                <w:szCs w:val="1"/>
                <w:color w:val="auto"/>
              </w:rPr>
            </w:pPr>
          </w:p>
        </w:tc>
      </w:tr>
      <w:tr>
        <w:trPr>
          <w:trHeight w:val="257"/>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159,441</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159,441</w:t>
            </w:r>
          </w:p>
        </w:tc>
        <w:tc>
          <w:tcPr>
            <w:tcW w:w="0" w:type="dxa"/>
            <w:vAlign w:val="bottom"/>
          </w:tcPr>
          <w:p>
            <w:pPr>
              <w:spacing w:after="0"/>
              <w:rPr>
                <w:sz w:val="1"/>
                <w:szCs w:val="1"/>
                <w:color w:val="auto"/>
              </w:rPr>
            </w:pPr>
          </w:p>
        </w:tc>
      </w:tr>
      <w:tr>
        <w:trPr>
          <w:trHeight w:val="185"/>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(7,483,174)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(7,483,174)</w:t>
            </w: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1,150,000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2,936,828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3,349,184</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2,586,522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24,362,849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8,000,000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5,000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3,011,966</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(9,587)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(21,480,142)</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10,389,270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154,184</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6,526,554</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6,526,554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(23,065,676)</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(23,065,676)</w:t>
            </w: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2,500,000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1,150,000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2,936,828</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3,349,184</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2,586,522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24,362,849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8,000,000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5,000</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9,538,520</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144,597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(44,545,818)</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(5,995,668)</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2,500,000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894,315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2,936,828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2,604,545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2,586,522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18,946,146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8,000,000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3,888</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7,417,777</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112,448</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(34,641,744)</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(4,662,625)</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-1722120</wp:posOffset>
            </wp:positionV>
            <wp:extent cx="713232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-1439545</wp:posOffset>
            </wp:positionV>
            <wp:extent cx="713232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-1139190</wp:posOffset>
            </wp:positionV>
            <wp:extent cx="7132320" cy="2311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-788035</wp:posOffset>
            </wp:positionV>
            <wp:extent cx="713232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-487680</wp:posOffset>
            </wp:positionV>
            <wp:extent cx="7132320" cy="2317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520" w:space="220"/>
            <w:col w:w="9500"/>
          </w:cols>
          <w:pgMar w:left="320" w:top="900" w:right="339" w:bottom="1440" w:gutter="0" w:footer="0" w:header="0"/>
        </w:sectPr>
      </w:pPr>
    </w:p>
    <w:bookmarkStart w:id="188" w:name="page189"/>
    <w:bookmarkEnd w:id="188"/>
    <w:p>
      <w:pPr>
        <w:ind w:left="2860"/>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(7,483,174)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(23,065,676)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(17,937,378)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849,482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1,047,676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814,742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159,441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6,526,554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5,075,476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658,218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511,873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currency transaction (gain)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(257,154)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426,042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331,317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5,687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5,335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116,650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504,431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1,884,968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1,465,875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(286,175)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(388,918)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(302,448)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(771,643)</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(375,844)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(292,281)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(7,429,105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(13,131,645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(10,212,025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intangible assets and trademarks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(2,733,466)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(514,711)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(400,273)</w:t>
            </w:r>
          </w:p>
        </w:tc>
      </w:tr>
      <w:tr>
        <w:trPr>
          <w:trHeight w:val="255"/>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(2,733,902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(514,711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(400,273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-590550</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-316865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13232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7,580,385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5,895,003</w:t>
            </w:r>
          </w:p>
        </w:tc>
        <w:tc>
          <w:tcPr>
            <w:tcW w:w="80" w:type="dxa"/>
            <w:vAlign w:val="bottom"/>
            <w:shd w:val="clear" w:color="auto" w:fill="CCEEFF"/>
          </w:tcPr>
          <w:p>
            <w:pPr>
              <w:spacing w:after="0"/>
              <w:rPr>
                <w:sz w:val="20"/>
                <w:szCs w:val="20"/>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7,580,385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5,895,003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275,502</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(9,887,505</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(6,337,829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(4,928,709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16,512,011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6,624,506</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5,151,648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6,624,506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286,677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222,939</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Horizon Quantum Computing Pte. Ltd. (the “Company”) is incorporated in the Republic of Singapore. The Company focuses on developing software tools that simplify and accelerate the creation of applications for quantum computers and also provide quantum computing services on an individual basis. The Company’s flagship product, Triple Alpha, is a web-based integrated development environment (IDE) that allows developers to write quantum software using familiar classical programming languages. The Software enables software developers without prior quantum experience to harness the power of quantum computing.</w:t>
      </w:r>
    </w:p>
    <w:p>
      <w:pPr>
        <w:spacing w:after="0" w:line="179" w:lineRule="exact"/>
        <w:rPr>
          <w:rFonts w:ascii="Times New Roman" w:cs="Times New Roman" w:eastAsia="Times New Roman" w:hAnsi="Times New Roman"/>
          <w:sz w:val="18"/>
          <w:szCs w:val="18"/>
          <w:b w:val="1"/>
          <w:bCs w:val="1"/>
          <w:color w:val="auto"/>
        </w:rPr>
      </w:pPr>
    </w:p>
    <w:p>
      <w:pPr>
        <w:ind w:left="340" w:right="6220" w:hanging="332"/>
        <w:spacing w:after="0" w:line="503" w:lineRule="auto"/>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include the accounts of the Company and its wholly owned subsidiary, Horizon Quantum Computing (Ireland) Limited. All significant intercompany accounts and transactions have been eliminated in consolidation.</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of the Company is required to make certain estimates, judgments, and assumptions during the preparation of its consolidated financial statements in accordance with U.S. GAAP. The Company believes that these estimates, judgments and assumptions are reasonable under the circumstances. These estimates, judgments, and assumptions impact the reported amounts of assets, liabilities, revenue, and expenses. Actual results could differ from these estimates. Changes in such estimates could affect amounts reported in future periods. On an ongoing basis, the Company evaluates its estimates and judgments including those related to the useful lives and recoverability of property and equipment and definite-lived intangible assets; the carrying value of accounts receivable, including the determination of the allowance for credit losses; the incremental borrowing rate for the Company’s leases; and the valuation of stock-based compensation, SAFE derivative liabilities among others.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Translations of balances in the consolidated balance sheets, consolidated statements of operations, consolidated statements of comprehensive loss, consolidated statements of changes in stockholders’ equity, consolidated statements of cash flows and notes to the consolidated financial statements from SGD into USD as of December 31, 2025 are solely for the convenience of the readers and are calculated at the rate of SGD 1.00 = USD 0.7777, representing the exchange rate set forth in the H.10 statistical release of the Federal Reserve Board on December 31, 2025. No representation is made that the SGD amounts could have been, or could be, converted, realized or settled into USD at such rate, or at any other rate.</w:t>
      </w:r>
    </w:p>
    <w:p>
      <w:pPr>
        <w:spacing w:after="0" w:line="17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rFonts w:ascii="Times New Roman" w:cs="Times New Roman" w:eastAsia="Times New Roman" w:hAnsi="Times New Roman"/>
          <w:sz w:val="18"/>
          <w:szCs w:val="18"/>
          <w:b w:val="1"/>
          <w:bCs w:val="1"/>
          <w:color w:val="auto"/>
        </w:rPr>
      </w:pPr>
    </w:p>
    <w:p>
      <w:pPr>
        <w:jc w:val="both"/>
        <w:ind w:left="3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an emerging growth company, as defined in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Cash balances are held in Singaporean and European banks. The Company maintains its cash balances in highly rated financial institutions. At times, cash balances may exceed federally insurable limits.</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known amounts of cash, and which are subject to an insignificant risk of changes in value. These typically include treasury bills, money market funds, and other short-term instruments with original maturities of three months or less.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not subject to any contractual agreement that contains restrictions on the Company’s use or withdrawal of its cash or cash equivalents.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 from sale of services in the ordinary course of business is recognized when the Company satisfies a performance obligation (PO) by transferring control of a promised service to the customer.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 of revenue recognized is the amount of the transaction price allocated to the satisfied PO.</w:t>
      </w:r>
    </w:p>
    <w:p>
      <w:pPr>
        <w:spacing w:after="0" w:line="225"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7"/>
          <w:szCs w:val="17"/>
          <w:color w:val="auto"/>
        </w:rPr>
        <w:t>The transaction price is allocated to each PO in the contract on the basis of the relative stand- alone selling prices of the promised services. The individual standalone selling price of a service that has not previously been sold on a stand-alone basis, or has a highly variable selling price, is determined based on the residual portion of the transaction price after allocating the transaction price to services with observable stand-alone selling prices. A discount or variable consideration is allocated to one or more, but not all, of the performance obligations if it relates specifically to those POs.</w:t>
      </w:r>
    </w:p>
    <w:p>
      <w:pPr>
        <w:spacing w:after="0" w:line="16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transaction price is the amount of consideration in the contract to which the Company expects to be entitled in exchange for transferring the promised services. The transaction price may be fixed or variable and is adjusted for time value of money if the contract includes a significant financing component. Consideration payable to a customer is deducted from the transaction price if the Company does not receive a separate identifiable benefit from the customer. When consideration is variable, the estimated amount is included in the transaction price to the extent that it is highly probable that a significant reversal of the cumulative revenue will not occur when the uncertainty associated with the variable consideration is resolved.</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 may be recognized at a point in time or over time following the timing of satisfaction of the PO. If a PO is satisfied over time, revenue is recognized based on the percentage of completion reflecting the progress towards complete satisfaction of that PO.</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nature and timing of the satisfaction of performance obligations in contract with customers, including significant payment terms, and the related revenue recognition policies: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Rendering of services</w:t>
            </w:r>
          </w:p>
        </w:tc>
        <w:tc>
          <w:tcPr>
            <w:tcW w:w="1960" w:type="dxa"/>
            <w:vAlign w:val="bottom"/>
          </w:tcPr>
          <w:p>
            <w:pPr>
              <w:spacing w:after="0"/>
              <w:rPr>
                <w:sz w:val="18"/>
                <w:szCs w:val="18"/>
                <w:color w:val="auto"/>
              </w:rPr>
            </w:pPr>
          </w:p>
        </w:tc>
        <w:tc>
          <w:tcPr>
            <w:tcW w:w="7380" w:type="dxa"/>
            <w:vAlign w:val="bottom"/>
          </w:tcPr>
          <w:p>
            <w:pPr>
              <w:spacing w:after="0"/>
              <w:rPr>
                <w:sz w:val="18"/>
                <w:szCs w:val="18"/>
                <w:color w:val="auto"/>
              </w:rPr>
            </w:pPr>
          </w:p>
        </w:tc>
      </w:tr>
      <w:tr>
        <w:trPr>
          <w:trHeight w:val="453"/>
        </w:trPr>
        <w:tc>
          <w:tcPr>
            <w:tcW w:w="340" w:type="dxa"/>
            <w:vAlign w:val="bottom"/>
          </w:tcPr>
          <w:p>
            <w:pPr>
              <w:spacing w:after="0"/>
              <w:rPr>
                <w:sz w:val="24"/>
                <w:szCs w:val="24"/>
                <w:color w:val="auto"/>
              </w:rPr>
            </w:pPr>
          </w:p>
        </w:tc>
        <w:tc>
          <w:tcPr>
            <w:tcW w:w="3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Nature of services</w:t>
            </w:r>
          </w:p>
        </w:tc>
        <w:tc>
          <w:tcPr>
            <w:tcW w:w="7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Company provides research and development services on quantum algorithms.</w:t>
            </w:r>
          </w:p>
        </w:tc>
      </w:tr>
      <w:tr>
        <w:trPr>
          <w:trHeight w:val="414"/>
        </w:trPr>
        <w:tc>
          <w:tcPr>
            <w:tcW w:w="340" w:type="dxa"/>
            <w:vAlign w:val="bottom"/>
          </w:tcPr>
          <w:p>
            <w:pPr>
              <w:spacing w:after="0"/>
              <w:rPr>
                <w:sz w:val="24"/>
                <w:szCs w:val="24"/>
                <w:color w:val="auto"/>
              </w:rPr>
            </w:pPr>
          </w:p>
        </w:tc>
        <w:tc>
          <w:tcPr>
            <w:tcW w:w="3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When revenue is recognized</w:t>
            </w:r>
          </w:p>
        </w:tc>
        <w:tc>
          <w:tcPr>
            <w:tcW w:w="7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Revenue is recognized when services are delivered to the customer and all criteria for</w:t>
            </w:r>
          </w:p>
        </w:tc>
      </w:tr>
      <w:tr>
        <w:trPr>
          <w:trHeight w:val="234"/>
        </w:trPr>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acceptance have been satisfied.</w:t>
            </w:r>
          </w:p>
        </w:tc>
      </w:tr>
      <w:tr>
        <w:trPr>
          <w:trHeight w:val="432"/>
        </w:trPr>
        <w:tc>
          <w:tcPr>
            <w:tcW w:w="340" w:type="dxa"/>
            <w:vAlign w:val="bottom"/>
          </w:tcPr>
          <w:p>
            <w:pPr>
              <w:spacing w:after="0"/>
              <w:rPr>
                <w:sz w:val="24"/>
                <w:szCs w:val="24"/>
                <w:color w:val="auto"/>
              </w:rPr>
            </w:pPr>
          </w:p>
        </w:tc>
        <w:tc>
          <w:tcPr>
            <w:tcW w:w="3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Significant payment terms</w:t>
            </w:r>
          </w:p>
        </w:tc>
        <w:tc>
          <w:tcPr>
            <w:tcW w:w="7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30 days credit terms</w:t>
            </w:r>
          </w:p>
        </w:tc>
      </w:tr>
      <w:tr>
        <w:trPr>
          <w:trHeight w:val="655"/>
        </w:trPr>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F-22</w:t>
            </w:r>
          </w:p>
        </w:tc>
      </w:tr>
    </w:tbl>
    <w:p>
      <w:pPr>
        <w:sectPr>
          <w:pgSz w:w="11900" w:h="16838" w:orient="portrait"/>
          <w:cols w:equalWidth="0" w:num="1">
            <w:col w:w="11240"/>
          </w:cols>
          <w:pgMar w:left="320" w:top="900" w:right="339" w:bottom="1440" w:gutter="0" w:footer="0" w:header="0"/>
        </w:sectPr>
      </w:pPr>
    </w:p>
    <w:bookmarkStart w:id="191" w:name="page192"/>
    <w:bookmarkEnd w:id="191"/>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accounts receivable are recognized and carried at billed amounts less an allowance for credit losses. The Company adopted the Current Expected Credit Losses (“CECL”) guidance effective January 1, 2023.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The allowance for credit losses were not significant as of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net is stated at cost and depreciated on a straight-line basis of three to seven years for furniture and fixtures and computer equipment. Leasehold improvements are capitalized and amortized over the shorter of their useful lives or remaining lease term. Repair and maintenance costs are charged to operations in the periods incurred. Upon retirement or sale, costs and related accumulated depreciation or amortization are removed from the balance sheets and the resulting gain or loss is included in operating expense in the Company’s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consist primarily of property and equipment, operating lease right-of-use assets, and intangible assets which are reviewed for impairment whenever events or changes in circumstances indicate that the carrying amount of an asset may not be recoverable. Recoverability of assets to be held and used is measured by a comparison of the carrying amount of an asset to the undiscounted future net cash flows expected to be generated by the asset. If the carrying amount of an asset exceeds its estimated future undiscounted cash flows, an impairment charge is recognized by the amount by which the carrying amount of the asset exceeds the fair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are accounted for under ASC 842. The Company determines if an arrangement is or contains a lease at inception. The Company’s operating lease arrangements are comprised of real estate and facility leases. Right of use assets represent the Company’s right to use the underlying asset for the lease term and lease liabilities represent the Company’s obligation to make lease payments arising from the lease. Right of use assets and lease liabilities are recognized at the commencement date based on the present value of the lease payments over the lease term. As the Company’s leases do not provide an implicit rate and the implicit rate is not readily determinable, the Company estimates its incremental borrowing rate based on the information available at the measurement date in determining the present value of the lease payments. Right of use assets also exclude lease incentives.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expense in accordance with ASC 718, Compensation-Stock Compensation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ASC 718”). The Company measures and recognizes compensation expense for all stock-based awards based on estimated fair values on the date of the grant, recognized over the requisite service period. For awards that vest solely based on a service condition, the Company recognizes stock-based compensation expense on a straight-line basis over the requisite service period. The Company accounts for forfeitures in the period in which they occur.</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2" w:name="page193"/>
    <w:bookmarkEnd w:id="19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Expenses, Operating Income /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and other expenses are recognized on an accrual basis when it is probable that economic benefits will flow to or from the Company and the amounts can be reliably measured. Other income may include interest income, foreign exchange gains, and miscellaneous non-operating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or losses represent the profit or loss from the Company’s core business operations, excluding finance costs, taxation, and other non-operating items. It is a key performance measure used by management to assess the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and 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the Company are conducted is the Singapore Dollar (“SGD”). The Company uses SGD as their functional currency. The results of the Company’s</w:t>
      </w:r>
    </w:p>
    <w:p>
      <w:pPr>
        <w:jc w:val="both"/>
        <w:spacing w:after="0" w:line="260" w:lineRule="auto"/>
        <w:rPr>
          <w:sz w:val="20"/>
          <w:szCs w:val="20"/>
          <w:color w:val="auto"/>
        </w:rPr>
      </w:pPr>
      <w:r>
        <w:rPr>
          <w:rFonts w:ascii="Times New Roman" w:cs="Times New Roman" w:eastAsia="Times New Roman" w:hAnsi="Times New Roman"/>
          <w:sz w:val="18"/>
          <w:szCs w:val="18"/>
          <w:color w:val="auto"/>
        </w:rPr>
        <w:t>non-Singaporean subsidiary, whose functional currency are the local currencies of the economic environment in which they operate, are translated into SGD in accordance with U.S. GAAP.</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are translated at year-end exchange rates, while revenues and expenses are translated at average exchange rates during the year. Differences resulting from translation are presented in equity as accumulated other comprehensive loss. Transaction gains and losses that arise from exchange rate fluctuations on transactions denominated in a currency other than the functional currency are included in the results of operations as incurred. Foreign currency transaction (gain) loss, mainly related to intercompany transactions, is included in the consolidated statements of operations. For the years ended December 31, 2025 and 2024, there was a gain of S$154,184 (US$119,904) and loss of S$17,185 (US$13,364),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Simple Agreement for Future Equity (“SAFE”)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SAFE arrangements in accordance with ASC 480, Distinguishing Liabilities from Equity, ASC 815, Derivatives and Hedging, and ASC 470, Debt.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each SAFE at issuance to determine whether the instrument should be classified as a liability or as equity. SAFEs that provide the holder with the right to receive cash upon the occurrence of a liquidity event or dissolution, or that otherwise do not meet the criteria for equity classification, are accounted for as financial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Liability classified SAFEs that do not require bifurcation as derivative instruments are initially recognized at their issuance-date proceeds, net of issuance costs, and subsequently measured at fair value, with changes in fair value recognized in earnings as Other income and expense in the consolidated statement of operations, which reflect the estimated timing and probability of conversion or settlement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liabilities, revenues and expenses. Critical accounting estimates are those estimates made in accordance with GAAP that involve a significant level of estimation uncertainty and have had or are reasonably likely to have a material impact on the financial condition or results of operations of the company. In accounting for stock-based compensation, the use of valuation methods for awards granted when the Company’s ordinary shares are not publicly traded, the use of estimates in option valuation model inputs such as expected volatility, term of options, risk-free interest rate are subjective and the change in these assumptions can materially affect the amount of stock-based compensation expense recognized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measures certain financial assets and liabilities at fair value on a recurring basis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defined as the price that would be received to sell an asset or paid to transfer a liability in an orderly transaction between market participants at the measurement date.</w:t>
      </w:r>
    </w:p>
    <w:p>
      <w:pPr>
        <w:spacing w:after="0" w:line="3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3" w:name="page194"/>
    <w:bookmarkEnd w:id="193"/>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 fair value hierarchy that prioritizes the inputs to valuation techniques used to measure fair value. The hierarchy gives the highest priority to quoted prices in active markets for identical assets or liabilities (Level 1) and the lowest priority to unobservable inputs (Level 3). The three levels of the fair value hierarchy are described as follows: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ind w:lef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quoted prices included in Level 1, such as quoted prices for similar assets and liabilities in active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quoted prices for identical or similar assets in markets that are not active, and inputs other than quoted prices that are observable or corroborated by observable market data.</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available, the Company uses quoted market prices to determine fair value and classifies such items within Level 1. If quoted market prices are not available, the Company uses valuation techniques consistent with the market approach, income approach, or cost approach. Valuation techniques used maximize the use of observable inputs and minimize the use of unobservable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and other receivables, accounts payable and accrued liabilities. The Company does not utilize derivative instruments or investments and does not have any outstanding debt as of the date of the consolidated financial statements. The carrying amounts of cash and cash equivalents are at cost which approximates fair value due to the high liquidity of these instruments. Accounts receivable and other receivables are recorded at amortized cost, net of any allowance for doubtful accounts. The Company evaluates the collectability of receivables and records an allowance for expected credit losses when necessary. Accounts payable and accrued liabilities are recorded at cost and approximate fair value due to their short-term nature.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Seed Preference, Seed Plus Preference, Series A Preference, and Ordinary Shareholders by the weighted-average number of shares of Seed Preference, Seed Plus Preference, Series A Preference, and Ordinary shares outstanding during the year. Diluted net loss per share is based upon the diluted weighted-average number of shares outstanding during the year. Diluted net loss per share gives effect to all potentially dilutive common share equivalents, including preferred stock and stock options, to the extent they are dilutive. See to Note 10 – Net Loss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 (loss), net. Other comprehensive income (loss), net is defined as revenue, expenses, gains, and losses that under U.S. GAAP are recorded as an element of stockholders’ deficit but are excluded from net loss. The Company’s other comprehensive loss consists of foreign currency translation adjustments that result from the consolidation of its foreign subsidiaries and is reported net of tax effects.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and accounts receivable. The Company maintains its cash with major financial institutions in Singapore, which are regulated by the Monetary Authority of Singapore (“MAS”). While these balances may exceed the amounts insured under the Singapore Deposit Insurance Scheme (“SDIC”), the Company has not experienced any losses.</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4" w:name="page195"/>
    <w:bookmarkEnd w:id="19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has been identified as the Chief Executive Officer, who reviews the assets, operating results, and financial metrics for the Company as a whole to make decisions about allocating resources and assessing financial performance therefore there is only on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includes amendments that expand the existing reportable segment disclosure requirements and requires disclosure of (i) significant expense categories and amounts by reportable segment as well as the segment’s profit or loss measure(s) that are regularly provided to the chief operating decision maker (the “CODM”) to allocate resources and assess performance; (ii) how the CODM uses each reported segment profit or loss measure to allocate resources and assess performance; (iii) the nature of other segment balances contributing to reported segment profit or loss that are not captured within segment revenues or expenses; and (iv) the title and position of the individual or name of the group or committee identified as the CODM. We adopted the ASU on January 1, 2024, and the adoption did not have a material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December 15, 2024 on a prospective basis with the option to apply it retrospectively. Early adoption is permitted. The adoption of this guidance will result in the Company being required to include enhanced income tax related disclosures. The Company is currently evaluating the impact this standard will have on its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220-40):Disaggregation of Income Statement Expenses</w:t>
      </w:r>
      <w:r>
        <w:rPr>
          <w:rFonts w:ascii="Times New Roman" w:cs="Times New Roman" w:eastAsia="Times New Roman" w:hAnsi="Times New Roman"/>
          <w:sz w:val="18"/>
          <w:szCs w:val="18"/>
          <w:color w:val="auto"/>
        </w:rPr>
        <w:t>” (“ASU 2024-03”). The standard requires additional disclosure of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within the notes to the financial statements. The provisions of the standard are effective for annual reporting periods beginning after December 15, 2026, and interim reporting periods beginning after December 15, 2027, with early adoption permitted. This accounting standards update may be applied either prospectively or retrospectively. The Company is currently evaluating the impact this standard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using the going concern basis of accounting, which contemplates the realization of assets and the satisfaction of liabilities in the normal course of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of S$23.1 million (US$17.9 million) and S$7.5 million (US$5.8 million) during the year ended December 31, 2025 and 2024, respectively, and has an accumulated deficit of S$44.5 million (US$34.6 million) as of December 31, 2025. As previously disclosed, these conditions raised substantial doubt about the Company’s ability to continue as a going concern within one year after the date that the financial statements were issued.</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primary objective of the Company’s capital management is to ensure that it maintains sound capital position in order to support its business and maximize shareholder’s value. On March 19, 2026, the Company consummated the previously announced business combination (the “Business Combination”) with dMY Squared Technology Group, Inc. (“dMY”). Upon closing of the Business Combination, the Company will continue as the surviving company and become the primary operating entity under the umbrella of Horizon Quantum Holdings Ltd., which will be a publicly traded entity. The closing of the Business Combination provides the group with gross proceeds of approximately US$120 million, consisting of funds held in dMY’s trust account (after redemptions) and proceeds from a concurrent PIPE financing. Accordingly, management has concluded that the conditions that previously raised substantial doubt about the Company’s ability to continue as a going concern has been alleviated.</w:t>
      </w:r>
    </w:p>
    <w:p>
      <w:pPr>
        <w:spacing w:after="0" w:line="18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future capital requirements will depend on many factors including the Company’s revenue growth rate, the timing and extent of spending to support further sales and marketing and research and development efforts. In order to finance these opportunities, the Company may need to raise additional financing. While there can be no assurances, the Company may need to pursue issuances of additional equity raises and debt rounds of financing.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83"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895,674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1,118,656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869,940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1,133,740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1,166,810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907,388</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Quantum Computing Equipment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1,735,720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3,273,534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2,545,714</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3,770,732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5,573,413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(751,384)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(1,452,324)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(1,129,422)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4,121,089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depreciation expense for the years ended December 31, 2025 and 2024, totalled S$1,047,676 (US$814,742) and S$849,482 (US$660,613), respectively.</w:t>
      </w:r>
    </w:p>
    <w:p>
      <w:pPr>
        <w:spacing w:after="0" w:line="158"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and other assets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and other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80" w:type="dxa"/>
            <w:vAlign w:val="bottom"/>
          </w:tcPr>
          <w:p>
            <w:pPr>
              <w:spacing w:after="0"/>
              <w:rPr>
                <w:sz w:val="21"/>
                <w:szCs w:val="21"/>
                <w:color w:val="auto"/>
              </w:rPr>
            </w:pPr>
          </w:p>
        </w:tc>
        <w:tc>
          <w:tcPr>
            <w:tcW w:w="43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0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SGD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equipment purchase</w:t>
            </w:r>
          </w:p>
        </w:tc>
        <w:tc>
          <w:tcPr>
            <w:tcW w:w="4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545,261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employee related expenses</w:t>
            </w:r>
          </w:p>
        </w:tc>
        <w:tc>
          <w:tcPr>
            <w:tcW w:w="4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105,507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205,386</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133,822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186,259</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legal expenses</w:t>
            </w:r>
          </w:p>
        </w:tc>
        <w:tc>
          <w:tcPr>
            <w:tcW w:w="4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141,403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licenses</w:t>
            </w:r>
          </w:p>
        </w:tc>
        <w:tc>
          <w:tcPr>
            <w:tcW w:w="4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72,392</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4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46,434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58,611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leases</w:t>
            </w:r>
          </w:p>
        </w:tc>
        <w:tc>
          <w:tcPr>
            <w:tcW w:w="4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4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4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75,607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18,836</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1,242,134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959,760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4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color w:val="auto"/>
              </w:rPr>
              <w:t>F-27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Patents and</w:t>
            </w:r>
          </w:p>
        </w:tc>
        <w:tc>
          <w:tcPr>
            <w:tcW w:w="13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trademarks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SGD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SGD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56,730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(5,688)</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(5,252)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(5,335)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2025 (USD)</w:t>
            </w:r>
          </w:p>
        </w:tc>
        <w:tc>
          <w:tcPr>
            <w:tcW w:w="1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44,456</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22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for the years ended December 31, 2025 and 2024 totalled approximately S$5,676 (US$4,414) and S$5,687 (US$4,423),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Future estimated amortization expense for the Company’s intangible assets is approximately as follows: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Future estimated amortization as of December 31, 2025</w:t>
            </w: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SGD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16"/>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other payables</w:t>
            </w:r>
          </w:p>
        </w:tc>
        <w:tc>
          <w:tcPr>
            <w:tcW w:w="2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14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other payables consist of the following:</w:t>
            </w: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3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SGD</w:t>
            </w:r>
          </w:p>
        </w:tc>
        <w:tc>
          <w:tcPr>
            <w:tcW w:w="240" w:type="dxa"/>
            <w:vAlign w:val="bottom"/>
            <w:gridSpan w:val="2"/>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SGD</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purchase</w:t>
            </w:r>
          </w:p>
        </w:tc>
        <w:tc>
          <w:tcPr>
            <w:tcW w:w="3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465,645</w:t>
            </w: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590,335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Outsourced services and consulting expenses</w:t>
            </w:r>
          </w:p>
        </w:tc>
        <w:tc>
          <w:tcPr>
            <w:tcW w:w="3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75,660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194,279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92,652</w:t>
            </w: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277,281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facilities restoration costs</w:t>
            </w:r>
          </w:p>
        </w:tc>
        <w:tc>
          <w:tcPr>
            <w:tcW w:w="3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31,934</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payroll related expenses</w:t>
            </w:r>
          </w:p>
        </w:tc>
        <w:tc>
          <w:tcPr>
            <w:tcW w:w="3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18,206</w:t>
            </w:r>
          </w:p>
        </w:tc>
        <w:tc>
          <w:tcPr>
            <w:tcW w:w="14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Legal and M&amp;A expenses</w:t>
            </w:r>
          </w:p>
        </w:tc>
        <w:tc>
          <w:tcPr>
            <w:tcW w:w="3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1,758,819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1,367,773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accounts payable and other payables</w:t>
            </w:r>
          </w:p>
        </w:tc>
        <w:tc>
          <w:tcPr>
            <w:tcW w:w="2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3,346,689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2,602,604</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F-28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 right-of-use assets and lease liabilities are recognized based on the net present value of remaining lease payments over the lease term. In calculating the present value, the Company uses its estimated incremental borrowing rate, determined based on available information as of the later of the lease commencement date, the lease modification date, or the date of adoption of ASC 842. The right-of-use asset also includes any initial direct costs and is adjusted for lease incentives received.</w:t>
      </w:r>
    </w:p>
    <w:p>
      <w:pPr>
        <w:spacing w:after="0" w:line="179" w:lineRule="exact"/>
        <w:rPr>
          <w:rFonts w:ascii="Times New Roman" w:cs="Times New Roman" w:eastAsia="Times New Roman" w:hAnsi="Times New Roman"/>
          <w:sz w:val="18"/>
          <w:szCs w:val="18"/>
          <w:b w:val="1"/>
          <w:bCs w:val="1"/>
          <w:color w:val="auto"/>
        </w:rPr>
      </w:pPr>
    </w:p>
    <w:p>
      <w:pPr>
        <w:ind w:left="340" w:right="1440"/>
        <w:spacing w:after="0" w:line="5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 as of December 31, 2025 and 2024 are S$591,491 (US$459,982) and S$735,067 (US$571,636), respectively. As of December 31, 2025, the maturities of the Company’s operating lease liabilities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8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519,605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404,079</w:t>
            </w: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114,843</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634,448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values of lease liabilities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623,592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484,946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509,248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396,025</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114,344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88,921</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623,592</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484,946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Simple Agreement for Future Equity (“SAFE”)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entered into SAFE arrangements with certain investors and received cash proceeds of US$5,884,000 (“Purchase Amount”). In accordance with terms set out in the SAFE agreements, SAFE Holders may automatically receive preference shares upon the close of a qualifying equity financing, SPAC transaction or by a maturity date that is 24 months from the date of issuance if not previously converted. In addition, SAFE Holders may receive proceeds in a liquidity or dissolution event. The Purchase Amount is comprised of (i) a secondary component, equal to 16% of the Purchase Amount (the “Secondary Component”), and a primary component, equal to 84% of the Purchase Amount (the “Primary Component”). The Company may use the Secondary Component to (i) meet the Company’s working capital requirements, and/or (ii) buy back and cancel Shares and/or cancel allocated and vested Options. The Company will use the Primary Component to meet the Company’s working capital requirements, or for any other purpose approved in accordance with the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SAFEs meet the definition of a liability under ASC 480 and will be recorded at fair value. The fair value of the SAFEs was determined using a probability-weighted expected return method (“PWERM”), supported by use of a Monte Carlo simulation method. The value of the SAFE liability as of December 31, 2025 is based on significant inputs not observable in the market, which represents a Level 3 measurement within the fair value hierarchy. The following table provides a reconciliation of liabilities measured at fair value: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8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31 December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SAFEs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7,580,385</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5,895,005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658,218</w:t>
            </w:r>
          </w:p>
        </w:tc>
        <w:tc>
          <w:tcPr>
            <w:tcW w:w="2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as at 31 December 2025</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8,238,603</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6,406,878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8580" w:hanging="332"/>
        <w:spacing w:after="0" w:line="503" w:lineRule="auto"/>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Ordinary shares</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ordinary shares is entitled to receive dividends as declared from time to time and is entitled to one vote per share at meetings of the Company. All ordinary shares rank equally with regard to the Company’s residual assets.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issued shares are fully paid, with no par value.</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Convertible preference shares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convertible preferences shares (“CPS”) shall be entitled to receive notices of, and attend, speak and vote at, any general meetings of the Company. The holder of the CPS shall have one vote for every ordinary share into which the number of CPS it holds is convertible to.</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declaration of dividends, the CPS shall receive, out of funds legally available, dividends at the rate of 8% of the issue price paid for the subscription of the CPS prior to and in preference to any declaration or payment of any dividend to holders of ordinary shares.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any initial public offering (“IPO”), the holders of the CPS may, but shall not be obliged to convert all or some only of the CPS into ordinary shares by delivering to the Company a notice in writing of its intention. The holder of the CPS shall not be required to make any payment to the Company for the conversion of the CPS to ordinary shares. The CPS shall automatically convert into ordinary shares upon IPO.</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CPS will only be redeemable, upon the Company choosing to provide redemption in the event of a default by or liquidation of the Company.</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liquidation (as defined in the investment agreement), the net proceeds from the liquidation event shall be distributed in the following manner:</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Firstly, the holders of CPS shall receive an amount equal to the amount paid by the holders of CPS for the subscription of the relevant CPS plus all declared or accrued but unpaid dividends.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remaining balance shall be distributed to the holders of CPS and ordinary shares on a pro rata basis.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the event of default, each of the holders of the CPS may give notice to the Company to require the Company to buy-back or redeem all or part of the CPS held by 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Employee share option plan (Equity-settled) (“ESOP Plan”)</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granted share options to employees under its Employee Share Option Scheme known as the “The Employee Share Option Plan of Horizon Quantum Computing Pte Ltd (“ESOP”)”. A total of 793,750, 1,047,900 and 641,041 options were issued on March 1, 2022, February 1, 2025 and August 15, 2025 respectively, comprising 687,500 options exercisable at S$0.46 (US$0.36) per share, 231,250 options exercisable at US$0.80 per share, 1,278,614 options exercisable at US$7.00 per share and 285,300 options exercisable at US$12.50 per share.</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vesting conditions for these options are generally structured to occur up to 4 years from the date of grant. Once vested, the options may be exercised at any time up to the maturity date, which is 10 years from the date of grant.</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an employee ceases employment with the Company, the treatment of the options depends on the circumstances of departure. If employment is terminated for Cause, all vested and unvested options will be cancelled, and the Company retains the right to repurchase any shares acquired through the exercise of options at the original exercise price. If employment ends for any other reason, unvested options will be cancelled immediately, and vested options must be exercised within the period specified in the Rules; otherwise, they will lapse.</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classified the share options as equity-settled share-based payments at fair value. The following table summarizes stock option activities for the for the years ended December 31, 2025 and 2024:</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December 31, 2025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life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2025</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r>
      <w:tr>
        <w:trPr>
          <w:trHeight w:val="263"/>
        </w:trPr>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194"/>
        </w:trPr>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Borders>
              <w:top w:val="single" w:sz="8" w:color="auto"/>
            </w:tcBorders>
            <w:gridSpan w:val="3"/>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SGD</w:t>
            </w:r>
          </w:p>
        </w:tc>
        <w:tc>
          <w:tcPr>
            <w:tcW w:w="80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USD</w:t>
            </w:r>
          </w:p>
        </w:tc>
        <w:tc>
          <w:tcPr>
            <w:tcW w:w="20" w:type="dxa"/>
            <w:vAlign w:val="bottom"/>
          </w:tcPr>
          <w:p>
            <w:pPr>
              <w:spacing w:after="0"/>
              <w:rPr>
                <w:sz w:val="16"/>
                <w:szCs w:val="16"/>
                <w:color w:val="auto"/>
              </w:rPr>
            </w:pPr>
          </w:p>
        </w:tc>
      </w:tr>
      <w:tr>
        <w:trPr>
          <w:trHeight w:val="22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793,750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0.64</w:t>
            </w: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0.50</w:t>
            </w:r>
          </w:p>
        </w:tc>
      </w:t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5"/>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770,310</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0.63</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0.49</w:t>
            </w:r>
          </w:p>
        </w:tc>
        <w:tc>
          <w:tcPr>
            <w:tcW w:w="20" w:type="dxa"/>
            <w:vAlign w:val="bottom"/>
          </w:tcPr>
          <w:p>
            <w:pPr>
              <w:spacing w:after="0"/>
              <w:rPr>
                <w:sz w:val="17"/>
                <w:szCs w:val="17"/>
                <w:color w:val="auto"/>
              </w:rPr>
            </w:pPr>
          </w:p>
        </w:tc>
      </w:tr>
      <w:tr>
        <w:trPr>
          <w:trHeight w:val="230"/>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1,688,914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8"/>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2,431,474</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6.79</w:t>
            </w:r>
          </w:p>
        </w:tc>
        <w:tc>
          <w:tcPr>
            <w:tcW w:w="3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5.28</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2"/>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2,431,474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3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-1567815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-1293495</wp:posOffset>
            </wp:positionV>
            <wp:extent cx="7132320" cy="162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-985520</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-685165</wp:posOffset>
            </wp:positionV>
            <wp:extent cx="713232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-342265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determined using the Binomial Valuation Model taking into account the terms and conditions upon which the options were granted. The following table lists the inputs to the model used: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Borders>
              <w:bottom w:val="single" w:sz="8" w:color="CCEEFF"/>
            </w:tcBorders>
          </w:tcPr>
          <w:p>
            <w:pPr>
              <w:spacing w:after="0"/>
              <w:rPr>
                <w:sz w:val="21"/>
                <w:szCs w:val="21"/>
                <w:color w:val="auto"/>
              </w:rPr>
            </w:pPr>
          </w:p>
        </w:tc>
        <w:tc>
          <w:tcPr>
            <w:tcW w:w="6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6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7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7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7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637"/>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F-31</w:t>
            </w:r>
          </w:p>
        </w:tc>
      </w:tr>
    </w:tbl>
    <w:p>
      <w:pPr>
        <w:sectPr>
          <w:pgSz w:w="11900" w:h="16838" w:orient="portrait"/>
          <w:cols w:equalWidth="0" w:num="1">
            <w:col w:w="11240"/>
          </w:cols>
          <w:pgMar w:left="320" w:top="900" w:right="339" w:bottom="1440"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(loss) per share are computed using the two-class method, which is an earnings allocation method that determines earnings (loss) per share for common shares and participating securities. The participating securities consist of the Company’s Preference Shareholders by the weighted-average number of shares of Seed Preference, Seed Plus Preference and Series A Preference. The undistributed earnings are allocated between common shares and participating securities as if all earnings had been distributed during the period. In periods of loss, no allocation is made to the Preference shares and diluted net loss per share is the same as basic net loss per share because common stock equivalents are excluded as their inclusion would be antidilutive.</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calculated net income/(loss) per share using the treasury stock method. The table below sets for the computation of basic and diluted net income/(loss) per share for the period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194"/>
        </w:trPr>
        <w:tc>
          <w:tcPr>
            <w:tcW w:w="7320" w:type="dxa"/>
            <w:vAlign w:val="bottom"/>
          </w:tcPr>
          <w:p>
            <w:pPr>
              <w:spacing w:after="0"/>
              <w:rPr>
                <w:sz w:val="16"/>
                <w:szCs w:val="16"/>
                <w:color w:val="auto"/>
              </w:rPr>
            </w:pPr>
          </w:p>
        </w:tc>
        <w:tc>
          <w:tcPr>
            <w:tcW w:w="1400" w:type="dxa"/>
            <w:vAlign w:val="bottom"/>
            <w:tcBorders>
              <w:top w:val="single" w:sz="8" w:color="auto"/>
            </w:tcBorders>
          </w:tcPr>
          <w:p>
            <w:pPr>
              <w:jc w:val="right"/>
              <w:ind w:right="55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top w:val="single" w:sz="8" w:color="auto"/>
            </w:tcBorders>
          </w:tcPr>
          <w:p>
            <w:pPr>
              <w:jc w:val="right"/>
              <w:ind w:right="53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SGD</w:t>
            </w: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SGD</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USD</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(7,483,174)</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(23,065,676)</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(17,937,378)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16,023,350</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16,023,350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16,023,350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(0.47)</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(1.44)</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outstanding balances of common share equivalent securities have been excluded from the calculation of diluted weighted average common shares outstanding and diluted net loss per share for the years ended December 31, 2025 and 2024 because the effect of including them would have been antidilutive.</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Pool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2,996,875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2,996,875</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19,020,225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19,020,225</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normal course of business, the Company may become involved in various lawsuits and legal proceedings. While the ultimate results of these matters cannot be predicted with certainty, management does not expect them to have a material adverse effect on the financial position or results of operations of the Company.</w:t>
      </w:r>
    </w:p>
    <w:p>
      <w:pPr>
        <w:spacing w:after="0" w:line="171" w:lineRule="exact"/>
        <w:rPr>
          <w:rFonts w:ascii="Times New Roman" w:cs="Times New Roman" w:eastAsia="Times New Roman" w:hAnsi="Times New Roman"/>
          <w:sz w:val="18"/>
          <w:szCs w:val="18"/>
          <w:b w:val="1"/>
          <w:bCs w:val="1"/>
          <w:color w:val="auto"/>
        </w:rPr>
      </w:pPr>
    </w:p>
    <w:p>
      <w:pPr>
        <w:ind w:left="340" w:right="7940" w:hanging="332"/>
        <w:spacing w:after="0" w:line="532" w:lineRule="auto"/>
        <w:tabs>
          <w:tab w:leader="none" w:pos="34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Issuance of SAFE Notes</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2025, the Company entered into a financing arrangement with the sponsor of the SPAC (“SPAC Sponsor”), who is considered a related party. The SPAC Sponsor invested an aggregate of US$500,000 in the Company through the purchase of SAFE Notes. The terms of the SAFE notes purchased by the SPAC Sponsor are similar to those offered to unrelated third-party investors. The accounting policy and valuation methodology applied to the SAFE notes are described in Note 2 &amp; 9 – Simple Agreement for Future Equity (“SAFE”).</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Due From Related Parties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at December 31, 2025, the Company had S$127,851 of receivables from Horizon Quantum Holdings Pte. Ltd., an entity that is under common control with the Company. The entity is not consolidated in the Company’s consolidated financial statements. The amounts receivable represent working capital support in connection with the Business Combination and company formation related activities. Upon consummation of the Business Combination, the related party is expected to become a consolidated subsidiary of the Company and the related party balances are expected to be eliminated in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Computing Pte. Ltd.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operating decision maker (“CODM”) has been identified as the CEO, who reviews the assets, operating results, and financial metrics for the Company as a whole to make decisions about allocating resources and assessing financial performance. Accordingly, management has determined that there is only one reportable segment.</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assesses the performance of and decides how to allocate resources for the one segment based on consolidated net loss. Further, EBITDA (earnings before interest taxes, depreciation and amortization), which is not presented on the face of the Company’s Consolidated Statements of Operations, is used to assist with the measurement of segment performance and allocate resources. The CODM also uses net loss and adjusted EBITDA, to decide the level of investment in various operating activities and other capital allocation activities.</w:t>
      </w:r>
    </w:p>
    <w:p>
      <w:pPr>
        <w:spacing w:after="0" w:line="179" w:lineRule="exact"/>
        <w:rPr>
          <w:rFonts w:ascii="Times New Roman" w:cs="Times New Roman" w:eastAsia="Times New Roman" w:hAnsi="Times New Roman"/>
          <w:sz w:val="18"/>
          <w:szCs w:val="18"/>
          <w:b w:val="1"/>
          <w:bCs w:val="1"/>
          <w:color w:val="auto"/>
        </w:rPr>
      </w:pPr>
    </w:p>
    <w:p>
      <w:pPr>
        <w:ind w:left="340" w:right="2920"/>
        <w:spacing w:after="0" w:line="53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measure of segment assets is reported on the Company’s Consolidated Balance Sheets as Total Assets. The following table presents the Company’s segment results for the years ended December 31, 2025 and 2024:</w:t>
      </w: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SGD</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SGD</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3,458,218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10,696,318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8,318,157</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986,566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1,785,364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1,388,416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2,911,370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8,572,643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6,666,648</w:t>
            </w:r>
          </w:p>
        </w:tc>
        <w:tc>
          <w:tcPr>
            <w:tcW w:w="0" w:type="dxa"/>
            <w:vAlign w:val="bottom"/>
          </w:tcPr>
          <w:p>
            <w:pPr>
              <w:spacing w:after="0"/>
              <w:rPr>
                <w:sz w:val="1"/>
                <w:szCs w:val="1"/>
                <w:color w:val="auto"/>
              </w:rPr>
            </w:pP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855,249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1,053,012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818,891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22,107,337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from December 31, 2025, the date of these financial statements, through the date on which the financial statements were issued (the “Issuance Date”), for events requiring recording or disclosure in the financial statements as of and for the year ended December 31, 2025. The Company concluded that no events have occurred that would require recognition or disclosure in the financial statements, except as described below.</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2026, the Company entered into Simple Agreement for Future Equity (“SAFE”) notes for US$500,000 (“Purchase Amount”). The Purchase Amount is comprised of (i) a secondary component, equal to 16% of the Purchase Amount (the “Secondary Component”), and a primary component, equal to 84% of the Purchase Amount (the “Primary Component”). The Company may use the Secondary Component to (i) meet the Company’s working capital requirements, and/or (ii) buy back and cancel Shares and/or cancel allocated and vested Options. The Company will use the Primary Component to meet the Company’s working capital requirements, or for any other purpose approved in accordance with the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19, 2026, the Company consummated the previously announced business combination (the “Business Combination”) with dMY Squared Technology Group, Inc. (“dMY”). Upon closing of the Business Combination, the Company will continue as the surviving company and become the primary operating entity under the umbrella of Horizon Quantum Holdings Ltd. (“Holdco”), which will be a publicly traded entity. On March 20, 2026, Holdco’s Class A ordinary shares and warrants commenced trading on Nasdaq under the ticker symbols “HQ” and “HQWWW” respectively. The Closing of the Business Combination provides the group with gross proceeds of approximately US$120 million, consisting of funds held in dMY’s trust account (after redemptions) and proceeds from a concurrent PIPE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5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85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50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85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250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858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2025 and 2024</w:t>
            </w:r>
          </w:p>
        </w:tc>
        <w:tc>
          <w:tcPr>
            <w:tcW w:w="250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0"/>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5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Changes in Shareholders’ Deficit for the years ended December 31, 2025 and 2024</w:t>
            </w:r>
          </w:p>
        </w:tc>
        <w:tc>
          <w:tcPr>
            <w:tcW w:w="2500" w:type="dxa"/>
            <w:vAlign w:val="bottom"/>
            <w:shd w:val="clear" w:color="auto" w:fill="CCEEFF"/>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175"/>
        </w:trPr>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2025 and 2024</w:t>
            </w:r>
          </w:p>
        </w:tc>
        <w:tc>
          <w:tcPr>
            <w:tcW w:w="1560" w:type="dxa"/>
            <w:vAlign w:val="bottom"/>
            <w:tcBorders>
              <w:top w:val="single" w:sz="8" w:color="CCEEFF"/>
            </w:tcBorders>
          </w:tcPr>
          <w:p>
            <w:pPr>
              <w:spacing w:after="0"/>
              <w:rPr>
                <w:sz w:val="15"/>
                <w:szCs w:val="15"/>
                <w:color w:val="auto"/>
              </w:rPr>
            </w:pPr>
          </w:p>
        </w:tc>
        <w:tc>
          <w:tcPr>
            <w:tcW w:w="2500" w:type="dxa"/>
            <w:vAlign w:val="bottom"/>
            <w:tcBorders>
              <w:top w:val="single" w:sz="8" w:color="CCEEFF"/>
            </w:tcBorders>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9"/>
              </w:rPr>
              <w:t>F-39</w:t>
            </w:r>
          </w:p>
        </w:tc>
      </w:tr>
      <w:tr>
        <w:trPr>
          <w:trHeight w:val="21"/>
        </w:trPr>
        <w:tc>
          <w:tcPr>
            <w:tcW w:w="16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58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50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rPr>
              <w:t>F-40 to F-62</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360" w:type="dxa"/>
            <w:vAlign w:val="bottom"/>
            <w:tcBorders>
              <w:top w:val="single" w:sz="8" w:color="CCEEFF"/>
              <w:bottom w:val="single" w:sz="8" w:color="auto"/>
            </w:tcBorders>
            <w:gridSpan w:val="4"/>
          </w:tcPr>
          <w:p>
            <w:pPr>
              <w:ind w:left="1080"/>
              <w:spacing w:after="0"/>
              <w:rPr>
                <w:sz w:val="20"/>
                <w:szCs w:val="20"/>
                <w:color w:val="auto"/>
              </w:rPr>
            </w:pPr>
            <w:r>
              <w:rPr>
                <w:rFonts w:ascii="Times New Roman" w:cs="Times New Roman" w:eastAsia="Times New Roman" w:hAnsi="Times New Roman"/>
                <w:sz w:val="18"/>
                <w:szCs w:val="18"/>
                <w:color w:val="auto"/>
              </w:rPr>
              <w:t>F-34</w:t>
            </w:r>
          </w:p>
        </w:tc>
        <w:tc>
          <w:tcPr>
            <w:tcW w:w="2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3" w:name="page204"/>
    <w:bookmarkEnd w:id="203"/>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dMY Squared Technology Group,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dMY Squared Technology Group, Inc. (the “Company”) as of December 31, 2025 and 2024, the related statements of operations, changes in shareholders’ deficit and cash flows for the years ended December 31, 2025 and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ended December 31, 2025 and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complete a business combination by March 29, 2026, then the Company will cease all operations except for the purpose of liquidating. The date for mandatory liquidation and liquidity condition and subsequent dissolution raises substantial doubt about the Company’s ability to continue as a going concern. Management’s plans in regard to this matter are also described in Note 1.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 - Restatement of Unaudited Interim Condensed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financial statements, the unaudited condensed financial statements for the quarter ended March 31, 2025 were restated to properly reflect excise tax payable and the related adjustment to accumulated deficit.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309,399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111,447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Investments held in Trust Account</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27,316,019</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25,587,986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27,427,544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26,030,408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541,706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486,018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4,176,136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777,616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 related parties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1,191,667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641,667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2,395,015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389,871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tax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180,115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303,913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8,304,524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Overfunding loans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947,850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947,850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15,714,820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1,450,600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2,211,650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2,211,650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27,178,844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35,000,000 shares authorized; 2,325,987 and 2,338,586 shares subject to</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 at approximately $11.70 and $10.90 per share as of December 31, 2025 and 2024,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27,216,020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25,487,987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as of December 31, 2025</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Non-redeemable class A common stock, $0.0001 par value; 35,000,000 shares authorized; 416,266 and 0 shares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or outstanding as of December 31, 2025 and 2024,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5,000,000 shares authorized; 1,163,484 and 1,579,750 shares issued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(26,967,478)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(6,847,037)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(26,967,320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(6,846,879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Common Stock Subject to Possible Redemption and Shareholders’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27,427,544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26,030,408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4,461,667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Corporate tax expenses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(1,135,564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operating account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from cash and investments held in Trust Account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1,065,740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(14,264,220)</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(543,970)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(expenses)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(13,198,383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before provision for income taxes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(17,660,506)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(384,953)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162,200</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(17,822,706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(819,410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 - basic</w:t>
            </w: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2,337,999</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2,371,212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 - diluted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2,762,853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Class A common stock - basic</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 per share, Class A common stock - diluted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 - basic</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1,579,750</w:t>
            </w: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 -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1,579,750</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1,579,750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Net loss per share, Class B common stock - basic</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Class B common stock - diluted</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DEFICIT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1620" w:type="dxa"/>
            <w:vAlign w:val="bottom"/>
            <w:gridSpan w:val="4"/>
          </w:tcPr>
          <w:p>
            <w:pPr>
              <w:jc w:val="center"/>
              <w:ind w:left="250"/>
              <w:spacing w:after="0" w:line="194" w:lineRule="exact"/>
              <w:rPr>
                <w:sz w:val="20"/>
                <w:szCs w:val="20"/>
                <w:color w:val="auto"/>
              </w:rPr>
            </w:pPr>
            <w:r>
              <w:rPr>
                <w:rFonts w:ascii="Times New Roman" w:cs="Times New Roman" w:eastAsia="Times New Roman" w:hAnsi="Times New Roman"/>
                <w:sz w:val="18"/>
                <w:szCs w:val="18"/>
                <w:b w:val="1"/>
                <w:bCs w:val="1"/>
                <w:color w:val="auto"/>
              </w:rPr>
              <w:t>Non-redeemable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20" w:type="dxa"/>
            <w:vAlign w:val="bottom"/>
            <w:gridSpan w:val="4"/>
          </w:tcPr>
          <w:p>
            <w:pPr>
              <w:jc w:val="center"/>
              <w:ind w:left="250"/>
              <w:spacing w:after="0" w:line="202" w:lineRule="exact"/>
              <w:rPr>
                <w:sz w:val="20"/>
                <w:szCs w:val="20"/>
                <w:color w:val="auto"/>
              </w:rPr>
            </w:pPr>
            <w:r>
              <w:rPr>
                <w:rFonts w:ascii="Times New Roman" w:cs="Times New Roman" w:eastAsia="Times New Roman" w:hAnsi="Times New Roman"/>
                <w:sz w:val="18"/>
                <w:szCs w:val="18"/>
                <w:b w:val="1"/>
                <w:bCs w:val="1"/>
                <w:color w:val="auto"/>
              </w:rPr>
              <w:t>Class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Class B</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2"/>
                <w:szCs w:val="22"/>
                <w:color w:val="auto"/>
              </w:rPr>
            </w:pPr>
          </w:p>
        </w:tc>
        <w:tc>
          <w:tcPr>
            <w:tcW w:w="162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104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1,579,750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ind w:right="631"/>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(6,847,037)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(6,846,879)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redemption value of Class A</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subject to redemption due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extension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Excise tax payable attributable to</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(421,924)</w:t>
            </w:r>
          </w:p>
        </w:tc>
        <w:tc>
          <w:tcPr>
            <w:tcW w:w="18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(421,924)</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common stock to</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non-redeemable Class A common stock</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416,266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(416,266)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Remeasurement for Class A common stock</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redemption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(1,325,811)</w:t>
            </w:r>
          </w:p>
        </w:tc>
        <w:tc>
          <w:tcPr>
            <w:tcW w:w="18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(1,325,811)</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(17,822,706)</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(17,822,706)</w:t>
            </w: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2025</w:t>
            </w: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left w:val="single" w:sz="8" w:color="CCEEFF"/>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416,266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w:t>
            </w:r>
          </w:p>
        </w:tc>
        <w:tc>
          <w:tcPr>
            <w:tcW w:w="110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1,163,484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0" w:type="dxa"/>
            <w:vAlign w:val="bottom"/>
            <w:tcBorders>
              <w:right w:val="single" w:sz="8" w:color="CCEEFF"/>
            </w:tcBorders>
            <w:gridSpan w:val="2"/>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continue"/>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(26,967,478</w:t>
            </w:r>
          </w:p>
        </w:tc>
        <w:tc>
          <w:tcPr>
            <w:tcW w:w="180" w:type="dxa"/>
            <w:vAlign w:val="bottom"/>
            <w:vMerge w:val="continue"/>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(26,967,320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5"/>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91"/>
              <w:spacing w:after="0" w:line="194"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94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5"/>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180" w:type="dxa"/>
            <w:vAlign w:val="bottom"/>
          </w:tcPr>
          <w:p>
            <w:pPr>
              <w:spacing w:after="0"/>
              <w:rPr>
                <w:sz w:val="20"/>
                <w:szCs w:val="20"/>
                <w:color w:val="auto"/>
              </w:rPr>
            </w:pPr>
          </w:p>
        </w:tc>
        <w:tc>
          <w:tcPr>
            <w:tcW w:w="10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1,579,750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(5,079,176)</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Increase in redemption value of Class A common stock</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redemption due to extension</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(641,667)</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(641,667)</w:t>
            </w:r>
          </w:p>
        </w:tc>
        <w:tc>
          <w:tcPr>
            <w:tcW w:w="0" w:type="dxa"/>
            <w:vAlign w:val="bottom"/>
          </w:tcPr>
          <w:p>
            <w:pPr>
              <w:spacing w:after="0"/>
              <w:rPr>
                <w:sz w:val="1"/>
                <w:szCs w:val="1"/>
                <w:color w:val="auto"/>
              </w:rPr>
            </w:pPr>
          </w:p>
        </w:tc>
      </w:tr>
      <w:tr>
        <w:trPr>
          <w:trHeight w:val="198"/>
        </w:trPr>
        <w:tc>
          <w:tcPr>
            <w:tcW w:w="4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Remeasurement for Class A common stock subject to</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(306,784)</w:t>
            </w:r>
          </w:p>
        </w:tc>
        <w:tc>
          <w:tcPr>
            <w:tcW w:w="180" w:type="dxa"/>
            <w:vAlign w:val="bottom"/>
            <w:tcBorders>
              <w:left w:val="single" w:sz="8" w:color="CCEEFF"/>
            </w:tcBorders>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(306,784)</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(819,410)</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(819,410)</w:t>
            </w: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gridSpan w:val="3"/>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0" w:type="dxa"/>
            <w:vAlign w:val="bottom"/>
            <w:tcBorders>
              <w:right w:val="single" w:sz="8" w:color="CCEEFF"/>
            </w:tcBorders>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lef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1,579,750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(6,847,037</w:t>
            </w:r>
          </w:p>
        </w:tc>
        <w:tc>
          <w:tcPr>
            <w:tcW w:w="220" w:type="dxa"/>
            <w:vAlign w:val="bottom"/>
            <w:gridSpan w:val="2"/>
            <w:vMerge w:val="continue"/>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(6,846,879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(17,822,706)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from cash and investments held in Trust Account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(1,065,740)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14,264,220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543,970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advanced by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1,238,647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366,192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97,365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3,398,520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200,170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tax payable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(180,115)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(194,152)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(303,913)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(352,146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(1,395,823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 for extension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re-contributed to the Trust Account for excess tax withdrawals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(260,070)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 from Trust Account to pay for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1,872,655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Withdrawal from Trust Account to pay for redemption</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147,777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42,020,432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43,251,420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724,820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advances to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related parties under convertible note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641,667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excise tax on 2024 redemption of common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(421,924)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(147,778)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(42,020,432)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(41,546,207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(309,321)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309,390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year</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309,399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 End of the year</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309,399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paid by related party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excise tax payable attributable to redemption of Class A common stock</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421,924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redemption value of Class A common stock subject to redemption due to extension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641,667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federal income taxes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537,526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508,883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state taxes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391,181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Organization and Business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dMY Squared Technology Group, Inc. (the “Company” or “dMY”) is a blank check company incorporated in Massachusetts.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not commenced any operations. All activity for the period from February 15, 2022 (inception) through December 31, 2025 relates to the Company’s formation and the initial public offering (the “Initial Public Offering”) as described below, and since the closing of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sponsor is dMY Squared Sponsor, LLC, a Delaware limited liability company (the “Sponsor”). The registration statement for the Company’s Initial Public Offering was declared effective on September 29, 2022. On October 4, 2022, the Company consummated its Initial Public Offering of 6,000,000 units (the “Units” and, with respect to the Class A common stock included in the Units offered, the “Class A Shares” or the “Public Shares”), at $10.00 per unit, generating gross proceeds of $60.0 million, and incurring offering costs of approximately $3.7 million, of which $2.1 million and approximately $26,000 were for deferred underwriting commissions (see Note 5) and offering costs allocated to derivative warrant liabilities, respectively. On October 7, 2022, the underwriter exercised its over-allotment option in part, and on October 11, 2022, the underwriter purchased 319,000 additional Units (the “Over-Allotment Units”), generating gross proceeds of approximately $3.2 million (the “Partial Over-Allotment”). The underwriter waived the remainder of its over-allotment option. The Company incurred additional offering costs of approximately $156,000 in connection with the Partial Over-Allotment (of which approximately $112,000 was for deferred underwriting fees).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2,840,000 warrants (the “Initial Private Placement Warrants”), at a price of $1.00 per Initial Private Placement Warrant to the Sponsor, generating proceeds of approximately $2.8 million (see Note 4). On October 11, 2022, simultaneously with the issuance and sale of the Over-Allotment Units, the Company consummated the sale of an additional 44,660 private placement warrants at $1.00 per private placement warrant (the “Additional Private Placement Warrants”, and together with the Initial Private Placement Warrants, the “Private Placement Warrants”), generating additional gross proceeds of approximately $45,000.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concurrently with the closing of the Initial Public Offering, the Sponsor extended an overfunding loan to the Company in an amount of $900,000 at no interest (the “Initial Overfunding Loan”) to deposit in the Trust Account (as defined below). On October 11, 2022, simultaneously with the sale of the Over-Allotment Units, the Sponsor extended a further overfunding loan to the Company in an aggregate amount of $47,850 (the “Additional Overfunding Loan”, and together with the Initial Overfunding Loan, the “Overfunding Loans”) to deposit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closing of the Initial Public Offering, the Partial Over-Allotment, the Private Placement and the Overfunding Loans, approximately $64.1 million ($10.15 per Unit) of the net proceeds of the sale of the Units, the Over-Allotment Units, and the Private Placement Warrants and the proceeds from the Overfunding Loans were initially placed in a trust account (the “Trust Account”) with Continental Stock Transfer &amp; Trust Company acting as trustee. According to the terms of the Investment Management Trust Agreement, dated October 4, 2022, between the Company and Continental Stock Transfer &amp; Trust Company (the “Trust Agreement”), the funds held in the Trust Account were initially invested in United States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 Business Combination, (ii) the redemption of Public Shares properly submitted in connection with a shareholder vote to amend the Amended and Restated Articles of Organization (the “Charter”) to modify the substance or timing of the Company’s obligation to redeem 100% of its Public Shares if the Company does not complete the initial Business Combination within the Combination Period (as defined below) or with respect to any other material provisions relating to shareholders’ rights or pre-initial Business Combination activity, and (iii) return of the funds held in the Trust Account to holders of Public Shares (the “Public Shareholders”) as part of the redemption of the Public Shares if the Company does not complete an initial Business Combination during the Combination Period. On September 25, 2024, the Company instructed Continental Stock Transfer &amp; Trust Company, the trustee with respect to the Trust Account, to transfer its Trust Account out of investment in securities into an interest-bearing bank deposit account in order to mitigate the risk of being deemed an unregistered investment company, and the account was transferred in March 2025.</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(net of amounts disbursed to management for working capital purposes and excluding the deferred underwriting commissions and taxes payable on the interest earned on the funds held in the Trust Account)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Public Shareholders with the opportunity to redeem all or a portion of their Public Shares upon the completion of a Business Combination either (i) in connection with a shareholders’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held in the Trust Account (initially at $10.15 per Public Share).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per-share amount to be distributed to Public Shareholders who redeem their Public Shares will not be reduced by the deferred underwriting commissions the Company will pay to the underwriter (as discussed in Note 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Public Shares are recorded at redemption value and classified as temporary equity upon the completion of the Initial Public Offering in accordance with the Financial Accounting Standards Board (“FASB”) Accounting Standards Codification (“ASC”) Topic 480, “Distinguishing Liabilities from Equity” (“ASC 480”). The Company will proceed with a Business Combination if a majority of the shares voted are voted in favor of the Business Combination. The Company’s Charter initially required the Company to not redeem the Public Shares in an amount that would cause its net tangible assets to be less than $5,000,001.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the shareholders approved the proposal to amend the Charter and eliminate such Redemption Limitation (as defined below). If a shareholder vote is not required by law and the Company does not decide to hold a shareholder vote for business or other legal reasons, the Company will, pursuant to its Charter,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Charter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and the Company’s officers agreed not to propose an amendment to the Charter to modify the substance or timing of the Company’s obligation to redeem 100% of the Public Shares if the Company does not complete a Business Combination within the Combination Period (as defined below), or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Charter initially provided 15 months from the closing of the Initial Public Offering, or January 4, 2024 (the “Prior Outside Date”), to consummate an initial Business Combination. The Charter also permitted the Company, by resolution of the board of directors, to extend the period of time to consummate a Business Combination twice by an additional 3-month period (for a total of 21 months to complete a Business Combination), subject to the Sponsor depositing into the Trust Account $631,900 in the aggregate for each extension (the “Prior Contributions”). The Sponsor did not intend to deposit such Prior Contributions into the Trust Account. Accordingly, following January 4, 2024, the Company would have been forced to liquidate.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 2024, the Company held a special meeting of its shareholders to extend the date by which the Company had to consummate its initial business combination (the “First Extension”), from January 4, 2024 to January 29, 2024 and to allow the Company, without another shareholder vote, by resolution of the board of directors, to elect to further extend such date up to twenty-three times for an additional one month each time, until up to December 29, 2025, only if the Sponsor or its designee would deposit (the “Contributions”) into the Trust Account as a loan, (i) on or before January 4, 2024, with respect to the initial extension, an amount of $41,667, and (ii) one business day following the public announcement by us disclosing that the board of directors has determined to implement an additional monthly extension, with respect to each such additional extension, an amount of $50,000. In connection with the shareholder approval of the First Extension, an aggregate of 3,980,414 Public Shares were redeemed for an aggregate of approximately $42.0 million on January 4, 2024 (the “January 2024 Redemption”). The Company’s board of directors elected to use all twenty-three monthly extensions and, accordingly, Mr. You made an aggregate of $1,191,667 of Contributions to the Trust Account.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Special Meeting, the Company’s shareholders also approved proposals to (1) amend the Charter to provide for the right of a holder of Class B Shares (as defined below) to convert their Class B Shares into Class A Shares on a one-for-one basis at any time and from time to time at the election of the holder; (2) amend the Charter to eliminate from the Charter (i) the limitation that the Company may not redeem Public Shares in an amount that would cause its net tangible assets to be less than $5,000,001 and (ii) the limitation that the Company shall not consummate a Business Combination unless it has net tangible assets of at least $5,000,001 (collectively, the “Redemption Limitation”); (3) amend the Charter to permit the board of directors, in its sole discretion, to elect to wind up operations on an earlier date than the Extended Date or Additional Extended Date, as applicable, as determined by the board of directors and included in a public announcement (the “Liquidation Amendment”); and (4) amend the Investment Management Trust Agreement between the Company and Continental Stock Transfer and Trust Company to reflect the Extension and the Liquidation Amendment.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Contribution and advances the Sponsor or its affiliates may make in the future to the Company for working capital expenses, on January 2, 2024, the Company issued a convertible promissory note to Harry L. You, Chairman, Chief Executive Officer and Chief Financial Officer and an affiliate of the Sponsor (the “Payee”), with a principal amount up to $1.75 million (the “Convertible Note”). The Convertible Note bears no interest and is repayable on the earlier of (i) the date on which the Company consummates an initial Business Combination and (ii) the liquidation date. If the Company does not consummate a Business Combination before the end of the Combination Period, the Convertible Note will be repaid only from funds held outside of the Trust Account or will be forfeited, eliminated or otherwise forgiven. Upon the consummation of the initial Business Combination, up to $1,500,000 of the outstanding principal of the Convertible Note may be converted into warrants, at a price of $1.00 per warrant, at the option of the Payee. Since January 2, 2024, the board of directors has elected to extend the liquidation date to December 29, 2025. Accordingly, the Company has drawn down from the Convertible Note and deposited $1,191,667 into the Trust Account in connection with such extensions.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2025, dMY’s shareholders approved a further amendment to the Charter to extend the date by which dMY has to consummate its initial business combination (the “Second Extension”), from December 29, 2025 to January 29, 2026 and to allow dMY, without another shareholder vote, by resolution of the board of directors, to elect to further extend such date up to five times for an additional one month each time, until up to June 29, 2026 (such time period, the “Combination Period”). No further Contributions are required in connection with the Second Extension. In connection with the shareholder approval of the Second Extension, an aggregate of 12,599 Public Shares were redeemed for an aggregate of approximately $147,778 (the “December 2025 Redemption”). As of the date of this Annual Report, the board of directors has extended the Combination Period, monthly, through March 29, 2026.</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the Business Combination before the end of the Combination Period of March 29, 2026 or as extended to June 29, 2026, the Company will (i) cease all operations except for the purpose of winding up, (ii) as promptly as reasonably possible but not more than ten business days thereafter subject to lawfully available funds therefor, redeem one hundred percent (100%) of the Offering Shares in consideration of a per-share price, payable in cash, equal to the quotient obtained by dividing (A) the aggregate amount then on deposit in the Trust Account, including interest not previously released to the Company to pay its taxes (less up to $100,000 of interest to pay dissolution expenses), by (B) the total number of then outstanding Offering Shares, which redemption will completely extinguish rights of the Public Shareholders (including the right to receive further liquidating distributions, if any), subject to applicable law, and (iii) as promptly as reasonably possible following such redemption, subject to the approval of the remaining shareholders and the board of directors in accordance with applicable law, dissolve and liquidate, subject in each case to the Company’s obligations under the MBCA to provide for claims of creditors and other requirements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initial shareholders acquire Public Shares, they will be entitled to liquidating distributions from the Trust Account with respect to such Public Shares if the Company fails to complete a Business Combination within the Combination Period. The underwriter agreed to waive its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$10.15.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that executed a waiver of any and all rights to the monies held in the Trust Account (whether or not such waiver is enforceable) nor will it apply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Withdrawals from Trust Account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withdrew a total of approximately $1.9 million of funds from the Trust Account for purposes of payment of tax liabilities and tax estimates, and such funds were deposited into the Company’s operating account. Funds representing interest earned on the amounts held in the Trust Account are permitted to be withdrawn from the Trust Account for the payment of taxes under the Company’s Charter and the terms of the Trust Agreement. On April 17, 2024, the Company paid approximately $0.89 million for 2023 taxes, leaving approximately $0.97 million remaining to be used for upcoming tax estimates. The Company used approximately $0.69 million of the balance of the withdrawn funds for the payment of general operating expenses. Management determined that the use of funds was not in accordance with the Trust Agreement, and, in March 2025, the Sponsor advanced approximately $0.73 million to the Company representing the amount of such operating expenses plus approximately $0.04 million in respect of interest that would have been earned on the remaining amount of approximately $0.97 million for the period from the original withdrawals to the date of the advance. The Company paid an aggregate of approximately $0.75 million for such tax obligations on March 21, 2025. On March 25, 2025, the Company re-contributed to the Trust Account approximately $0.22 million of the remaining amounts not used for payment of taxes plus approximately $0.04 million in respect of interest that would have been earned had such funds remained in the Trust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Excise Tax</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(H.R. 5376) (the “IRA”) was signed into federal law. The IR Act provides for, among other things, a new 1% U.S. federal excise tax on certain repurchases (including certain redemptions) of stock by publicly traded domestic (i.e. U.S.) corporations and certain domestic subsidiaries of publicly traded foreign (i.e., non-U.S.) corporations (each, a “Covered Corporation”) occurring on or after January 1, 2023 (the “Excise Tax”). The Excise Tax is imposed on the repurchasing corporation itself, not its shareholders from which shares are repurchased. The amount of the Excise Tax is generally 1% of the fair market value of the shares repurchased at the time of the repurchase. For purposes of calculating the Excise Tax, repurchasing corporations are permitted to net the fair market value of certain new stock issuances against the fair market value of stock repurchases during the same taxable year, subject to certain exceptions.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Department of Treasury (the “Treasury”) has been given authority to provide regulations and other guidance to carry out and prevent the abuse or avoidance of the Excise Tax. On June 28, 2024, the Treasury issued final regulations addressing the procedural aspects of the Excise Tax reporting and payment, and on November 24, 2025, the Treasury issued final regulations that provide substantive operating rules and computation for the Excise Tax.</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final regulations, redemptions of the Public Shares in January 2024 and December 2025 in connection with the First Extension and Second Extension are subject to the Excise Tax. Failure to timely pay the obligation in full would subject the Company to additional interest and penalties. In December 2025, the Company filed its excise tax return related to the January 2024 Redemption and paid an aggregate of approximately $570,000, consisting of approximately $420,000 of Excise Tax in connection with the First Extension and approximately $150,000 of related penalties and interest. The Excise Tax attributable to the January 2024 Redemption was recorded as a charge to accumulated deficit in accordance with ASC 480-10-S99-3A, while the related penalties and interest were recorded within general and administrative expenses in the accompanying statements of operations. As disclosed in the Company’s Annual Report on Form 10-K for the year ended December 31, 2024, filed with the SEC on April 3, 2025, the applicability of the Excise Tax to such redemptions was uncertain at 2024 year-end due to pending regulatory guidance and other factors. In 2025, based on additional guidance and analysis, management concluded that recognition of the obligation was appropriate.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redemptions in connection with the Second Extension in December 2025 totaled $147,778, which did not exceed the $1 million de minimis threshold.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no excise tax expense was incurred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NYSE American LLC (the “NYSE American”) Rules Section 119(b), the Company was required to complete its initial Business Combination within 36 months of the effective date of its Initial Public Offering registration statement, which date was September 29, 2025. Because the Company did not complete its initial Business Combination by such date, the trading of the Company’s Class A common stock, Public Warrants, and Units was suspended at the closing of business on September 29, 2025, and the Company’s securities were removed from listing and registration on NYSE American exchange.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began trading its Class A common stock and Public Warrants on the OTCQB Market and its Units on the OTCID Market, each operated by The OTC Market Systems (the “OTC Market”), under the symbols “DMYY”, “DMYYW”, and “DMYYU”, respectively, effective at the open of trading on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 with Horizon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9, 2025, the Company, Horizon Quantum Holdings Ltd. (formerly known as Rose Holdco Pte. Ltd., Company Registration No. 202537774K), a Singapore public company limited by shares (“Holdco”), Rose Acquisition Pte. Ltd. (Company Registration No. 202537790M), a Singapore private company limited by shares and wholly-owned subsidiary of Holdco (“Merger Sub 1”), Horizon Merger Sub 2, Inc., a Massachusetts corporation and wholly-owned subsidiary of Holdco (“Merger Sub 2”), and Horizon Quantum Computing Pte. Ltd. (Company Registration No. 201802755E), a Singapore private company limited by shares (“Horizon”), entered into a Business Combination Agreement (the “Business Combination Agreement”). Pursuant to the Business Combination Agreement, (i) Holdco was converted from a Singapore private company to a Singapore public company and was renamed “Horizon Quantum Holdings Ltd.”, (ii) Horizon and Merger Sub 1 will amalgamate, with Horizon surviving as a wholly-owned subsidiary of Holdco (the “Amalgamation”) and (iii) Merger Sub 2 will merge with and into dMY (the “SPAC Merger”, and together with the Amalgamation and the other transactions contemplated by the Business Combination Agreement, the “Proposed Business Combination”) with dMY surviving as a wholly-owned subsidiary of Holdco. The consummation of the Proposed Business Combination will result in dMY’s and Horizon’s securityholders becoming securityholders of Holdco, which will become a public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and the Proposed Business Combination were unanimously approved by the boards of directors of each of dMY and Horizon. The closing of the Proposed Business Combination is subject to the receipt of the required approvals by dMY’s and Horizon’s shareholders and the satisfaction of other customary closing conditions, including the requirement to meet a minimum cash condition of $45 million plus transaction expenses.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Proposed Business Combination, concurrently with the execution of the Business Combination Agreement, dMY, the Sponsor, Holdco and Horizon entered into a voting support agreement. Concurrently with the execution of the Business Combination Agreement, dMY and Holdco entered into voting support agreements with Horizon and all shareholders of Horizon.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4, 2025, in connection with the Proposed Business Combination, dMY, Holdco, and Horizon entered into Subscription Agreements (the “PIPE Subscription Agreements”), which were subsequently amended on March 9, 2026, with certain institutional and accredited investors, qualified institutional buyers and strategic investors (the “PIPE Investors”). Pursuant to the PIPE Subscription Agreements, as of December 31, 2025, Holdco agreed to issue and sell, and the PIPE Investors agreed to subscribe for and purchase, in a private placement, an aggregate investment of approximately $110.4 million of Holdco Class A Ordinary Shares (the “PIPE Shares”), at a per share price equal to the redemption price (the “PIPE Investment”). Subsequent to December 31, 2025, additional investors entered into subscription agreements increasing the aggregate PIPE commitment to approximately $111.9 million. The PIPE Investors may elect to satisfy their commitments through Class A Shares purchased in the open market or held prior to March 9, 2026. The PIPE Investment is expected to close substantially concurrently with the closing of the Proposed Business Combination, subject to the satisfaction of certain closing conditions set forth in the PIPE Subscription Agreements. The Company has engaged a financial advisor in connection with the proposed Business Combination and related financing transactions. The advisor is entitled to transaction-based compensation contingent upon completion of the Proposed Business Combination.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PIPE Subscription Agreement, on December 4, 2025, Holdco, dMY, Horizon and IonQ, Inc. (“IonQ”), one of the PIPE Investors, entered into an agreement (the “IonQ Side Letter”), as subsequently amended on March 9, 2026, which provides certain commercial and governance rights commensurate with IonQ’s strategic investment in Horizon, including the right to select one director to serve on the board of directors of Holdco, subject to certain independence and approval requirements, an 18-month lock-up on IonQ’s PIPE Shares, and certain notice and information rights for so long as IonQ maintains specified ownership thresholds.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2026, the SEC declared effective the registration statement on Form F-4 (333-292737) filed by Holdco and Horizon in connection with the Proposed Business Combination. On the same day, DMY filed its definitive proxy statement and began mailing the proxy statement to its shareholders of record as of February 6, 2026. A special meeting of dMY’s shareholders was held on March 17, 2026. At the special meeting, dMY shareholders approved the Proposed Business Combination and related matters. If the other closing conditions are satisfied or waived, the Company currently expects the closing to occur in March 2026. However, there can be no assurance that the Proposed Business Combination will be consummated on the currently anticipated timeline, or at all, as the closing remains subject to various conditions, including the level of stockholder redemptions and necessary regulatory approvals.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specifically discussed, this Annual Report does not assume the closing of the Proposed Business Combination or the transactions contemplated by the Business Combination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minimal cash and working capital deficit of approximately $8.2 million. Further, the Company has incurred and expected to continue to incur significant costs in pursuit of its acquisition plans.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Initial Public Offering, the Company’s liquidity needs were satisfied through the payment of $25,000 from the Sponsor to purchase Founder Shares (as defined in Note 4) and a loan under the Note (as defined in Note 4) in the amount of approximately $145,000. The Company fully repaid the Note balance on October 4, 2022. The Note was no longer available to the Company after the closing of its Initial Public Offering. Subsequent to the closing of the Initial Public Offering and the Partial Over-Allotment, the Company’s liquidity needs have been satisfied through the net proceeds from the consummation of the Initial Public Offering and the Private Placement held outside of the Trust Account and advances from related parties (approximately $2.3 million in advances outstanding as of December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order to provide the Contribution and to finance transaction costs in connection with a Business Combination, the Company issued the Convertible Note to the Payee with a principal amount up to $1.75 million on January 2, 2024 as discussed above. As of December 31, 2025, the Company had an outstanding amount of $1,191,667 under the Convertible Note. All proceeds received under the Convertible Note were contributed into the Trust Account.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management’s assessment of going concern considerations in accordance with FASB Accounting Standards Codification (“ASC”) 205-40, “Presentation of Financial Statements—Going Concern,” the Company’s management has determined that the Company’s liquidity condition, mandatory liquidation should a Business Combination not occur, and potential subsequent dissolution raises substantial doubt about its ability to continue as a going concern through the earlier of the liquidation date of March 29, 2026 or the completion of the initial Business Combination. There is no assurance that the Company’s plans to consummate the Proposed Business Combination with Horizon or any other Business Combination will be successful or successful within the Combination Period. The financial statements included in this Annual Report on Form 10-K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economic conditions remain subject to significant uncertainty and volatility resulting from a combination of changes in laws or regulations, downturns in the financial markets or in economic conditions, inflation, fluctuations in interest rates, increases in tariffs, supply chain disruptions, declines in consumer confidence and spending, public health considerations. Ongoing and escalating military conflicts, including the conflict between Russia and Ukraine and conflicts in the Middle East, as well as the risk of further escalation or expansion of such conflicts, have contributed to heightened geopolitical instability and increased uncertainty in global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conditions have adversely affected, and may continue to adversely affect, global economic activity through, among other things, disruptions to energy and commodity markets, volatility in foreign exchange and capital markets, supply chain dislocations, increased cybersecurity risks, and reduced cross-border trade and investment. In addition, elevated interest rates, inflationary pressures, tightening credit conditions, and concerns regarding sovereign debt and fiscal stability in various jurisdictions have contributed to increased volatility and reduced liquidity in global financial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and duration of these conditions remain uncertain, and the ultimate impact on the global economy, financial markets, and business confidence cannot be predicted. Continued or worsening geopolitical tensions, adverse macroeconomic developments, or additional policy or regulatory responses could adversely affect the Company’s search for an initial Business Combination and any target business with which the Company may ultimately consummate an initial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no cash equivalents as of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regularly exceed the Federal Deposit Insurance Corporation coverage limit of $250,000. Any loss incurred or a lack of access to such funds could have a significant adverse impact on the Company’s financial condition, results of operations, and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 Held in Trust Account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was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are included in interest income from investments held in Trust Account in the accompanying statements of operations. The estimated fair values of investments held in the Trust Account are determined using available market information. On September 25, 2024, the Company instructed Continental Stock Transfer &amp; Trust Company, the trustee with respect to the Trust Account, to transfer its Trust Account out of investment in securities into an interest-bearing bank deposit account in order to mitigate the risk of being deemed an unregistered investment company, and the account was transferred in March 2025. As of December 31, 2025, the trust balance was held in cash. As of December 31, 2024 the trust balance was held in US Treasury Bills.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other than for the Overfunding Loan to the Sponsor, which qualify as financial instruments under FASB ASC Topic 820, “Fair Value Measurement,” approximates the carrying amounts represented in the balance sheets, either because of the short-term nature of the instruments or because the instrument is recognized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issued in connection with the Initial Public Offering (the “Public Warrants”) and the Private Placement Warrants were recognized as derivative liabilities in accordance with ASC 815. Accordingly, the Company recognized the warrant instruments as liabilities at fair value and will adjust the instruments to fair value at each reporting period. The liabilities are subject to re-measurement at each balance sheet date until exercised, and any change in fair value will be recognized in the statements of operations. The fair value of the Public Warrants and Private Placement Warrants were initially measured at fair value using the Black-Scholes model and the Monte Carlo simulation model, respectively. Beginning in December 2022, the fair value of Public Warrants has been measured based on the listed market price of such Public Warrants. The estimated fair value of the Private Placement Warrants was subsequently determined using the Monte Carlo simulation method with Level 3 inputs. The determination of the fair value of the derivative warrant liabilities may be subject to change as more current information becomes available and accordingly the actual results could differ significantly (see Note 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Payable –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option to convert the Convertible Note issued to the Payee on January 2, 2024 (see Note 4) into warrants qualifies as an embedded derivative under ASC 815 and is required to be recognized at fair value, with subsequent changes in fair value recognized in the Company’s statements of operations each reporting period until the Convertible Note is repaid or converted. As of December 31, 2025 and December 31, 2024, the fair value of the embedded conversion option had a de minimis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derivative warrant liabilities. Such estimates may be subject to change as more current information becomes available and accordingly the actual results could differ significantly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that were directly related to the Initial Public Offering. Upon completion of the Initial Public Offering, offering costs were allocated to the separable financial instruments issued in the Initial Public Offering based on a relative fair value basis, compared to total proceeds received. Offering costs allocated to the derivative warrant liabilities were charged to operations. Offering costs associated with the Class A Shares were charged against the carrying value of Class A Shares upon the completion of the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Shares Subject to Possible Redemption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 all of the Public Shares sold as part of the Units in the Initial Public Offering contain a redemption feature. In accordance with ASC 480, redemption provisions not solely within the control of the Company require the securities to be classified outside of permanent equity. Ordinary liquidation events, which involve the redemption and liquidation of all of the entity’s equity instruments, are excluded from the provisions of ASC 480. Therefore, the carrying value of all Public Shares has been classified outside of permanent equity. Immediately upon the closing of the Initial Public Offering, the Company recognized the accretion from initial book value to redemption amount value. The change in the carrying value of redeemable Public Shares resulted in charges against additional paid-in capital (to the extent available) and accumulated deficit.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amounts of Public Shares reflected in the financial statements are reconciled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 December 31, 2023</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66,559,968</w:t>
            </w:r>
          </w:p>
        </w:tc>
      </w:tr>
      <w:tr>
        <w:trPr>
          <w:trHeight w:val="216"/>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620" w:type="dxa"/>
            <w:vAlign w:val="bottom"/>
          </w:tcPr>
          <w:p>
            <w:pPr>
              <w:spacing w:after="0"/>
              <w:rPr>
                <w:sz w:val="18"/>
                <w:szCs w:val="18"/>
                <w:color w:val="auto"/>
              </w:rPr>
            </w:pPr>
          </w:p>
        </w:tc>
      </w:tr>
      <w:tr>
        <w:trPr>
          <w:trHeight w:val="216"/>
        </w:trPr>
        <w:tc>
          <w:tcPr>
            <w:tcW w:w="9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redemption value of Class A common stock subject to possible redemption subject to redemption due to extension</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641,667</w:t>
            </w:r>
          </w:p>
        </w:tc>
      </w:tr>
      <w:tr>
        <w:trPr>
          <w:trHeight w:val="216"/>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for Class A common stock subject to redemption</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306,784</w:t>
            </w:r>
          </w:p>
        </w:tc>
      </w:tr>
      <w:tr>
        <w:trPr>
          <w:trHeight w:val="216"/>
        </w:trPr>
        <w:tc>
          <w:tcPr>
            <w:tcW w:w="9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620" w:type="dxa"/>
            <w:vAlign w:val="bottom"/>
            <w:shd w:val="clear" w:color="auto" w:fill="CCEEFF"/>
          </w:tcPr>
          <w:p>
            <w:pPr>
              <w:spacing w:after="0"/>
              <w:rPr>
                <w:sz w:val="18"/>
                <w:szCs w:val="18"/>
                <w:color w:val="auto"/>
              </w:rPr>
            </w:pPr>
          </w:p>
        </w:tc>
      </w:tr>
      <w:tr>
        <w:trPr>
          <w:trHeight w:val="229"/>
        </w:trPr>
        <w:tc>
          <w:tcPr>
            <w:tcW w:w="9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Class A common stock subject to possible redemption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(42,020,432)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25,487,987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redemption value of Class A common stock subject to possible redemption subject to redemption due to extension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for Class A common stock subject to redemption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1,325,811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Class A common stock subject to possible redemption</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(147,778)</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 subject to possible redemption -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27,216,020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Shares and Class B Shares (or Public Shares and Founder Shares (as defined in Note 4)). Income and losses are shared pro rata between the two classes of shares. Net loss per share of common stock is calculated by dividing the net loss by the weighted average number of common stock outstanding for the respective period. The Company has not considered the effect of the Public Warrants and the Private Placement Warrants to purchase an aggregate of 6,044,160 shares in the calculation of diluted loss per share, since the exercise of the warrants is contingent upon the occurrence of future events and the inclusion of such warrants would be anti-dilutive. Accretion associated with the redeemable Public Shares is excluded from earnings per share as the redemption value approximates fair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loss per share of common stock for each class of common stock for the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r>
      <w:tr>
        <w:trPr>
          <w:trHeight w:val="196"/>
        </w:trPr>
        <w:tc>
          <w:tcPr>
            <w:tcW w:w="4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 of net loss - basic</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(10,636,074)</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(7,186,632)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(491,778)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(327,632)</w:t>
            </w:r>
          </w:p>
        </w:tc>
      </w:tr>
      <w:tr>
        <w:trPr>
          <w:trHeight w:val="21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 of net loss - diluted</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(2,263,982)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(1,294,504)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(491,778)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(327,632)</w:t>
            </w:r>
          </w:p>
        </w:tc>
      </w:tr>
      <w:tr>
        <w:trPr>
          <w:trHeight w:val="216"/>
        </w:trPr>
        <w:tc>
          <w:tcPr>
            <w:tcW w:w="4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2,337,999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1,579,750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2,371,212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1,579,750</w:t>
            </w:r>
          </w:p>
        </w:tc>
      </w:tr>
      <w:tr>
        <w:trPr>
          <w:trHeight w:val="23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2,762,853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1,579,750</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2,371,212</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1,579,750</w:t>
            </w:r>
          </w:p>
        </w:tc>
      </w:tr>
      <w:tr>
        <w:trPr>
          <w:trHeight w:val="216"/>
        </w:trPr>
        <w:tc>
          <w:tcPr>
            <w:tcW w:w="4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480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loss per common share - diluted</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F-51</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December 31, 2025 and 2024, the Company had gross deferred tax assets of approximately $2.1 million and approximately $949,000, respectively, which were presented net of a full valuation allowance.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2025 and 2024. The Company recognizes accrued interest and penalties related to unrecognized tax benefits as income tax expense. No amounts were accrued for the payment of interest and penalties as of December 31, 2025 and 2024. The Company is currently not aware of any issues under review that could result in significant payments, accruals or material deviation from its position. The Company has been subject to income tax examinations by major taxing authorities since inception.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updates, if currently adopted, would have a material effect on the accompanying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(Topic 740), “Improvements to Income Tax Disclosures”. The ASU requires disaggregated information about a reporting entity’s effective tax rate reconciliation as well as an expansion of other income tax disclosures. The ASU is effective on a prospective basis for annual reporting periods beginning after December 15, 2024. The Company adopted ASU 2023-09 in its Annual Report on Form 10-K for the year ending December 31,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Issued in November 2024, ASU 2024-03, “Disaggregation of Income Statement Expenses” (Subtopic 220-40),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While early adoption is permitted, the Company does not plan to adopt this standard early. This ASU will likely result in additional disclosures being included in the Company’s financial statements once adopted. The Company is currently evaluating the provisions of this ASU.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3—Initial Public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4, 2022, the Company consummated its Initial Public Offering of 6,000,000 Units at a price of $10.00 per Unit, generating gross proceeds of $60.0 million, and incurring offering costs of approximately $3.7 million, of which $2.1 million and approximately $26,000 was for deferred underwriting commissions and offering costs allocated to derivative warrant liabilities, respectively. The Company granted the underwriter in the Initial Public Offering a 45-day option to purchase up to 900,000 additional Units, at $10.00 per Unit, to cover over-allotments. On October 7, 2022, the underwriter exercised its over-allotment option in part, and on October 11, 2022, the underwriter purchased 319,000 additional Units, generating gross proceeds of approximately $3.2 million. The underwriter waived the remainder of its over-allotment option. The Company incurred additional offering costs of approximately $156,000 in connection with the Partial Over-Allotment (of which approximately $112,000 was for deferred underwriting fees). Each Unit consists of one Public Share and one-half of one Public Warrant. Each whole Public Warrant entitles the holder to purchase one Public Share at a price of $11.50 per share, subject to adjustment (see Note 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16, 2022, the Sponsor purchased 2,875,000 shares of the Company’s Class B common stock, par value $0.0001 per share (the “Founder Shares” or the “Class B Shares”), for an aggregate purchase price of $25,000, pursuant to a securities subscription agreement dated March 3, 2022 by and between the Company and the Sponsor (as amended by a subscriber forfeiture and amendment No. 1 to the securities subscription agreement dated September 8, 2022 and a subscriber forfeiture and amendment No. 2 to the securities subscription agreement dated September 29, 2022). On September 8, 2022 and September 29, 2022, the Sponsor surrendered to the Company 718,750 and 431,250 Founder Shares, respectively, in each case for no consideration, resulting in the Sponsor owning 1,725,000 Founder Shares. The initial shareholders agreed to forfeit up to 225,000 Founder Shares to the extent that the over-allotment option was not exercised in full by the underwriter, so that the Founder Shares would represent 20% of the Company’s issued and outstanding shares after the Initial Public Offering. The underwriter partially exercised its over-allotment option on October 11, 2022 and waived the remainder of its over-allotment option. Accordingly, the Sponsor forfeited 145,250 Founder Shares on October 11, 2022.</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 Founder Shares until the earlier to occur of (A) one year after the completion of the initial Business Combination or earlier if, subsequent to the initial Business Combination, the closing price of the Class A Shares equals or exceeds $12.00 per share (as adjusted for stock splits, stock capitalizations, reorganizations, recapitalizations and the like) for any 20 trading days within any 30-trading day period commencing at least 150 days after the initial Business Combination, and (B) the date following the completion of the initial Business Combination on which the Company completes a liquidation, merger, capital stock exchange or other similar transaction that results in all of the shareholders having the right to exchange their Class A Shares for cash, securities or other property. Notwithstanding the foregoing, the Founder Shares will be released from the lockup if the closing price of the Company’s Class A Shares equals or exceeds $12.00 per share (as adjusted for stock splits, stock capitalizations, reorganizations, recapitalizations and the like) for any 20 trading days within any 30-trading day period commencing at least 150 days after the initial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2,840,000 Initial Private Placement Warrants, at a price of $1.00 per Initial Private Placement Warrant, generating proceeds of approximately $2.8 million. On October 11, 2022, simultaneously with the issuance and sale of the Over-Allotment Units, the Company consummated the sale of 44,660 Additional Private Placement Warrants at $1.00 per Additional Private Placement Warrant, generating additional gross proceeds of approximately $45,000.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Private Placement Warrant is exercisable for one Class A Share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there will be no redemption rights or liquidating distributions with respect to the Private Placement Warrants. Except as set forth below, the Private Placement Warrants will be non-redeemable for cash and exercisable on a cashless basis so long as they are held by the Sponsor or their permitted transferees.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Promissory Note and Advances from Related Parties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 2022, the Sponsor agreed to loan the Company an aggregate amount of up to $200,000 to cover expenses related to the Initial Public Offering pursuant to a promissory note (the “Note”). This loan was non-interest bearing and payable on the date on which the Company consummated the Initial Public Offering. The Company borrowed approximately $145,000 under the Note and subsequently fully repaid the Note balance on October 4, 2022. The Note was no longer available to the Company after the closing of its Initial Public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Sponsor and its affiliates have paid for certain expenses on behalf of the Company. As of December 31, 2025 and 2024, the Company had an outstanding advances balance from such parties of approximately $2.3 million and $390,000, respectively. Subsequent to December 31, 2025, the Sponsor paid an aggregate of $165,000 for additional expenses on behalf of the Company, increasing the outstanding balance owed to Sponsor to approximately $2.6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Overfunding Loans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extended the Overfunding Loan to the Company in an aggregate amount of $900,000. On October 11, 2022, simultaneously with the sale of the Over-Allotment Units, the Sponsor extended the Additional Overfunding Loan to the Company in an amount of $47,850, for an aggregate outstanding principal amount of $947,850 to be deposited in the Trust Account. Upon the closing of the initial Business Combination, the Overfunding Loans will be repaid or converted into Class A Shares at a conversion price of $10.00 per share (or a combination of both), at the Sponsor’s discretion. If the Company does not complete an initial Business Combination, it will not repay the Overfunding Loans from amounts held in the Trust Account, and its proceeds will be distributed to the Public Shareholders; however, the Company may repay the Overfunding Loans if there are funds available outside the Trust Account to do so.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Convertible Promissory Note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Contribution and advances the Sponsor may make in the future to the Company for working capital expenses, on January 2, 2024, the Company issued a Convertible Note to Harry L. You, Chairman, Chief Executive Officer and Chief Financial Officer and an affiliate of the Sponsor with a principal amount up to $1.75 million. The Convertible Note bears no interest and is repayable in full upon the earlier of (a) the date of the consummation of the Company’s initial Business Combination, or (b) the date of the Company’s liquidation. If the Company does not consummate an initial Business Combination by the end of the Combination Period, the Convertible Note will be repaid only from funds held outside of the Trust Account or will be forfeited, eliminated or otherwise forgiven. Upon the consummation of the Company’s initial Business Combination, up to $1,500,000 of the outstanding principal of the Convertible Note may be converted into warrants, at a price of $1.00 per warrant, at the option of the Payee. Such warrants will have terms identical to the Private Placement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an outstanding amount of $1,191,667 and $641,667 under the Convertible Note, respectively. All proceeds received under the Convertible Note were contributed into the Trust Account.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option to convert the Convertible Note into warrants qualifies as an embedded derivative under FASB ASC 815 and is required to be recognized at fair value with subsequent changes in fair value recognized in the Company’s statements of operations each reporting period until the Convertible Note is repaid or converted. As of December 31, 2025 and 2024, the fair value of the embedded conversion option had a de minimis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Administrative Services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2022, the Company entered into an agreement pursuant to which it agreed to pay the Sponsor $10,000 per month for office space, administrative and support services. Upon completion of a Business Combination or its liquidation, the Company will cease paying these monthly fees. The Company recorded $120,000 in connection with such fees during each of the years ended December 31, 2025 and 2024 in the accompanying statements of operations. The Company recorded an outstanding balance of $310,000 and $190,000 as of December 31, 2025 and 2024, respectively, in connection with such fees in accrued expenses in the accompanying balance sheets.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executive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executive officers or directors, or the Company’s or their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Founder Shares, Private Placement Warrants and warrants that may be issued upon conversion of working capital loans and the Contributions (and any shares of common stock issuable upon the exercise of the Private Placement Warrants or warrants issued upon conversion of the working capital loans and the Contributions and upon conversion of the Founder Shares and the Overfunding Loans), will be entitled to registration rights pursuant to a registration and shareholder rights agreement signed upon the consummation of the Initial Public Offering. These holders will be entitled to certain demand and “piggyback” registration rights. The Company will bear the expenses incurred in connection with the filing of any such registration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$0.14 per Unit, or approximately $0.8 million in the aggregate, paid upon the closing of the Initial Public Offering. An additional fee of $0.35 per Unit, or $2.1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was entitled to an additional fee of approximately $45,000, which was paid upon closing of the Partial Over-Allotment, and approximately $112,000 in deferred underwriting commissions in connection with the consummation of the Partial Over-Allotment.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Arrangement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2025, in connection with the proposed Business Combination with Horizon, the Company entered into an engagement arrangement with an advisory firm to assist with investor outreach and capital markets activities related to the proposed transaction, including the PIPE financing as described in Note 1. The agreement provides that the advisor will be entitled to (i) a transaction fee of $4.0 million payable upon the closing of the Business Combination if the minimum cash condition is met, or, if such conditions are not satisfied, an incentive bonus of up to $4.0 million at the Company’s discretion, and (ii) placement agent fees in connection with any private placement equal to (a) 5.0% of the gross proceeds from investors introduced by the advisor and (b) 3.0% of the gross proceeds from other investors participating in the private placement, in each case payable upon the closing of such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6—Derivative Warrant Liabilities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2025 and 2024, the Company had an aggregate of 6,044,154 warrants outstanding, comprised of 3,159,500 Public Warrants and 2,884,660 Private Placement Warrants. 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Class A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the Company will use its best efforts to file with the SEC and have an effective registration statement covering the Class A Shares issuable upon exercise of the warrants and to maintain a current prospectus relating to those Class A Shares until the warrants expire or are redeemed. If a registration statement covering the Class A Shares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Class A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 and will expire five years after the completion of a Business Combination or earlier upon redemption or liquidation. In addition, if (x) the Company issues additional Class A Shares or equity-linked securities for capital raising purposes in connection with the closing of the initial Business Combination at an issue price or effective issue price of less than $9.20 per share of Class A Shares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w:t>
      </w:r>
    </w:p>
    <w:p>
      <w:pPr>
        <w:spacing w:after="0" w:line="3" w:lineRule="exact"/>
        <w:rPr>
          <w:sz w:val="20"/>
          <w:szCs w:val="20"/>
          <w:color w:val="auto"/>
        </w:rPr>
      </w:pPr>
    </w:p>
    <w:p>
      <w:pPr>
        <w:jc w:val="both"/>
        <w:ind w:firstLine="8"/>
        <w:spacing w:after="0" w:line="253" w:lineRule="auto"/>
        <w:tabs>
          <w:tab w:leader="none" w:pos="2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Class A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and the Class A Shares issuable upon exercise of the Private Placement Warrants will not be transferable, assignable or salable until the completion of a Business Combination, subject to certain limited exceptions. Additionally, except as set forth below, the Private Placement Warrants will be non-redeemable so long as they are held by the Sponsor or their permitted transferees. If the Private Placement Warrants are held by someone other than the Sponsor or their permitted transferees, the Private Placement Warrants will be redeemable by the Company and exercisable by such holders on the same basis as the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Public Share equals or exceeds $18.00</w:t>
      </w:r>
      <w:r>
        <w:rPr>
          <w:rFonts w:ascii="Times New Roman" w:cs="Times New Roman" w:eastAsia="Times New Roman" w:hAnsi="Times New Roman"/>
          <w:sz w:val="18"/>
          <w:szCs w:val="18"/>
          <w:color w:val="auto"/>
        </w:rPr>
        <w:t>. Once the Public Warrants become exercisable,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redeem the outstanding Public Warrants for cash:</w:t>
      </w:r>
    </w:p>
    <w:p>
      <w:pPr>
        <w:spacing w:after="0" w:line="159"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referred to as the 30-day redemption period;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Public Shares equals or exceeds $18.00 per share (as adjusted) for any 20 trading days within a 30-trading day period ending on the third trading day prior to the date on which the Company sends the notice of redemption to the warrant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when the price per share of Public Shares equals or exceeds $10.00</w:t>
      </w:r>
      <w:r>
        <w:rPr>
          <w:rFonts w:ascii="Times New Roman" w:cs="Times New Roman" w:eastAsia="Times New Roman" w:hAnsi="Times New Roman"/>
          <w:sz w:val="18"/>
          <w:szCs w:val="18"/>
          <w:color w:val="auto"/>
        </w:rPr>
        <w:t>. Once the Public Warrants become exercisable,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may redeem the outstanding Public Warrants:</w:t>
      </w:r>
    </w:p>
    <w:p>
      <w:pPr>
        <w:spacing w:after="0" w:line="207"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Public Warrant upon a minimum of 30 days’ prior written notice of redemption provided that holders will be able to exercise their Public Warrants on a cashless basis prior to redemption and receive that number of shares determined by reference to an agreed table based on the redemption date and the “fair market value” of Public Shares;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Public Shares equals or exceeds $10.00 per Public Share (as adjusted) for any 20 trading days within the 30-trading day period ending three trading days before the Company sends notice of redemption to the warrant holders.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market value” of Public Shares shall mean the volume weighted average price of Public Shares during the 10 trading days immediately following the date on which the notice of redemption is sent to the holders of warrants. In no event will the Public Warrants be exercisable in connection with this redemption feature for more than 0.361 Public Shares per Public Warrant (subject to adjustment).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Deficit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—The Company is authorized to issue 1,000,000 shares of preferred stock, par value $0.0001 per share, with such designations, voting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rights and preferences as may be determined from time to time by the Company’s board of directors. As of December 31, 2025 and 2024, there were no shares of preferred stock issued or outstanding.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—The Company is authorized to issue 35,000,000 Class A Shares with a par value of $0.0001 per share. As of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2024, there were 2,742,253 (including 2,325,987 redeemable and 416,266 non-redeemable) and 2,338,586 Class A Shares issued and outstanding, respectively. Redeemable Class A shares are subject to possible redemption in connection with the Company’s initial Business Combination or liquidation and are classified outside of permanent equity on the accompanying balance sheets, while non-redeemable Class A shares are classified within permanent equity.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—The Company is authorized to issue 5,000,000 Class B Shares with a par value of $0.0001 per share. As of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2024, there were 1,163,484 and 1,579,750 Class B Shares issued and outstanding, respectively.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shareholders of record are entitled to one vote for each share held on all matters to be voted on by shareholders. Holders of Class B Shares will have the right to elect all of the Company’s directors prior to the consummation of the initial Business Combination. On any other matter submitted to a vote of the Company’s shareholders, holders of Class B Shares and holders of Class A Shares will vote together as a single class, except as required by applicable law or stock exchange rule.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Charter, as amended in connection with the Special Meeting held on January 2, 2024, provides for the right of a holder of Class B Shares to convert their Class B Shares into Class A Shares, at any time and from time to time at the election of the holder, on a one-for-one basis, subject to adjustment for stock splits, stock dividends, reorganizations, recapitalizations and the like, and subject to further adjustment as provided herein. In the case that additional Class A Shares or equity-linked securities are issued or deemed issued in connection with the initial Business Combination, the number of Class A Shares issuable upon conversion of all Class B Shares will equal, in the aggregate, on an as-converted basis, 20% of the total number of Class A Shares outstanding after such conversion (after giving effect to any redemptions of shares of Public Shares by Public Shareholders), including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or rights exercisable for or convertible into Class A Shares issued, or to be issued, to any seller in the initial Business Combination and any Private Placement Warrants issued to the Sponsor, officers or directors upon conversion of working capital loans and Contributions and any Class A Shares issued to the Sponsor upon conversion of the Overfunding Loans. In no event will the conversion of Class B Shares occur on a less than one-for-one basis.</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15, 2025, the Sponsor distributed 416,266 Founder Shares to one of its members, pro rata, for no consideration. Such shares were then converted on a one-for-one basis into Class A Shares and donated to charity. As a result, as of the date of this Annual Report, the Sponsor owns an aggregate of 1,163,484 Founder Shares in the form of Class B Shares and other holders of Founder Shares hold an aggregate of 416,266 Founder Shares in the form of Class A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liabilities that are measured at fair value on a recurring basis as of December 31, 2025 and 2024, by level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4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4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44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Public Warrants</w:t>
            </w:r>
          </w:p>
        </w:tc>
        <w:tc>
          <w:tcPr>
            <w:tcW w:w="3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8,214,700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 - Private Warrants</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7,500,120</w:t>
            </w:r>
          </w:p>
        </w:tc>
      </w:tr>
      <w:tr>
        <w:trPr>
          <w:trHeight w:val="637"/>
        </w:trPr>
        <w:tc>
          <w:tcPr>
            <w:tcW w:w="4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1590"/>
              <w:spacing w:after="0"/>
              <w:rPr>
                <w:sz w:val="20"/>
                <w:szCs w:val="20"/>
                <w:color w:val="auto"/>
              </w:rPr>
            </w:pPr>
            <w:r>
              <w:rPr>
                <w:rFonts w:ascii="Times New Roman" w:cs="Times New Roman" w:eastAsia="Times New Roman" w:hAnsi="Times New Roman"/>
                <w:sz w:val="18"/>
                <w:szCs w:val="18"/>
                <w:color w:val="auto"/>
              </w:rPr>
              <w:t>F-58</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Investments held in Trust Account - U.S. Treasury Bill</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25,587,986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Public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warrant liabilities - Private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The cash balance within the Trust Account was $617 as of December 31,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in December 2022 when the Public Warrants were separately listed and traded. As of December 31, 2025 and 2024, the fair value measurement for Public Warrants was transferred to Level 2 measurement due to low trading volume. 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Public Warrants and the Private Placement Warrants was initially measured using Black-Scholes option pricing model and Monte Carlo simulation method, respectively. Beginning in December 2022, the fair value of Public Warrants has been measured based on the listed market price of such Public Warrants. The estimated fair value of the Private Placement Warrants was determined using a Monte Carlo simulation method with Level 3 inputs as of December 31, 2025 and 2024. Inherent in a Black-Scholes option pricing model and a Monte Carlo simulation method are assumptions related to expected stock-price volatility, expected life, risk-free interest rate and dividend yield. The Company estimates the volatility of its warrants based on implied volatility from the historical volatility of select peer company’s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 of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35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56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2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5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637"/>
        </w:trPr>
        <w:tc>
          <w:tcPr>
            <w:tcW w:w="35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right"/>
              <w:ind w:right="2933"/>
              <w:spacing w:after="0"/>
              <w:rPr>
                <w:sz w:val="20"/>
                <w:szCs w:val="20"/>
                <w:color w:val="auto"/>
              </w:rPr>
            </w:pPr>
            <w:r>
              <w:rPr>
                <w:rFonts w:ascii="Times New Roman" w:cs="Times New Roman" w:eastAsia="Times New Roman" w:hAnsi="Times New Roman"/>
                <w:sz w:val="18"/>
                <w:szCs w:val="18"/>
                <w:color w:val="auto"/>
              </w:rPr>
              <w:t>F-59</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Level 3 fair value of the derivative warrant liabilities for the years ended December 31, 2025 and 2024 are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2023 - Level 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432,700</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 - Private Warrants</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259,620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2024 - Level 3</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 - Private Warrants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6,807,800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2025 - Level 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7,500,120</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Topic 280, “Segment Reporting,” establishes standards for companies to report in their financial statement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or group, in deciding how to allocate resources and assess performance. The Company’s Chief Financial Officer has been identified as the chief operating decision maker (“CODM”), who reviews the operating results for the Company as a whole to make decisions about allocating resources and assessing financial performance. Accordingly, management has determined that the Company only has one reportable segment.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which include the following:</w:t>
      </w:r>
    </w:p>
    <w:p>
      <w:pPr>
        <w:spacing w:after="0" w:line="17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from cash and investments held in Trust Account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1,294,140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(4,461,667)</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(1,088,400)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(162,656)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(481,621)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(14,264,123)</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441</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(17,822,706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CODM reviews investment income from cash and investments in Trust Account to measure and monitor shareholders value and determine the most effective strategy of investment with the Trust Account funds while maintaining compliance with the trust agreement. General and administrative expenses are reviewed and monitored by the CODM to manage and forecast cash to ensure enough capital is available to complete a business combination within the business combination period. The CODM also reviews general and administrative costs to manage, maintain and enforce all contractual agreements to ensure costs are aligned with all agreements and budget. General and administrative costs, as reported on the statement of operations, are the significant segment expenses provided to the CODM on a regular basis. All other segment items included in net income or loss are reported on the statement of operations and described within their respective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223,826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86,697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(900,144)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(420,563)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(67,622)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1,171,045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prior year tax estimate</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net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261,147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Start-up/organization costs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12,928,719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Merger costs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827,591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2,120,462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949,417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(2,120,462)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(949,417)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tax asset, net of allowance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2025 and 2024, the valuation allowances were approximately $2.1 million and $949,000, respectively. As of December 31, 2025 and 2024, the Company has no U.S. federal net operating loss carryforwards and no state net operating loss carryovers available to offset future taxable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DMY SQUARED TECHNOLOGY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(benefit) to the Company’s effective tax rate (benefit) is as follows: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8480" w:type="dxa"/>
            <w:vAlign w:val="bottom"/>
          </w:tcPr>
          <w:p>
            <w:pPr>
              <w:spacing w:after="0"/>
              <w:rPr>
                <w:sz w:val="24"/>
                <w:szCs w:val="24"/>
                <w:color w:val="auto"/>
              </w:rPr>
            </w:pPr>
          </w:p>
        </w:tc>
        <w:tc>
          <w:tcPr>
            <w:tcW w:w="14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4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change in fair value of warrant liabilities</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meals and tax penalties</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7"/>
        </w:trPr>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foreign tax effects, changes in tax laws or rates enacted in the current periods, effect of cross-border tax laws, tax credits, or unrecognized tax benefits as of December 31, 2025 and 2024. The Company is currently not aware of any issues under review that could result in significant payments, accruals or material deviation from its position. The Company has been subject to income tax examinations by major taxing authorities since inception.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the financial statements were issued. Based upon this review, the Company did not identify any subsequent events that would have required adjustment to or disclosure in the financial statements, except as noted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2025, the Sponsor advanced an additional amount of approximately $165,000 to the Company, increasing the outstanding balance owed to Sponsor to approximately $2.6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additional investors entered into subscription agreements in connection with the previously disclosed PIPE financing related to the proposed Business Combination with Horizon. In addition, on March 9, 2026, the parties amended the IonQ Side Letter relating to the PIPE financing. See Note 1 — Description of Business Combination for additional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2026, the Company entered into a consulting agreement with a consulting firm for strategic communications services in connection with the Proposed Business Combination. The agreement provides for a fee of $400,000 payable only upon completion of the Proposed Business Combination.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2026, the Company held a special meeting of shareholders for the purpose of seeking shareholder approval of the Proposed Business Combination and related matters. At such meeting, the Company’s shareholders approved the Proposed Business Combination with Horizon.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TO 6,044,160 CLASS A ORDINARY SHARES ISSUABLE UPON THE EXERCISE OF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2,884,660 WARRANTS OFFERED BY SELLING SECURITYHOLDERS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33,221,695 CLASS A ORDINARY SHARES OFFERED BY SELLING SECURITYHOLDERS</w:t>
      </w:r>
    </w:p>
    <w:p>
      <w:pPr>
        <w:spacing w:after="0" w:line="225"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UP TO 19,744,585 CLASS A ORDINARY SHARES ISSUABLE UPON THE CONVERSION OF CLASS B SHARES OFFERED BY SELLING SECURITYHOLDERS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QUANTUM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294005</wp:posOffset>
            </wp:positionV>
            <wp:extent cx="3566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lowerRoman"/>
      <w:start w:val="1"/>
    </w:lvl>
  </w:abstractNum>
  <w:abstractNum w:abstractNumId="1">
    <w:nsid w:val="3DC240FB"/>
    <w:multiLevelType w:val="hybridMultilevel"/>
    <w:lvl w:ilvl="0">
      <w:lvlJc w:val="left"/>
      <w:lvlText w:val="(%1)"/>
      <w:numFmt w:val="decimal"/>
      <w:start w:val="2"/>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lowerRoman"/>
      <w:start w:val="2"/>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1)"/>
      <w:numFmt w:val="lowerRoman"/>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44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upperLetter"/>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upperLetter"/>
      <w:start w:val="27"/>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1)"/>
      <w:numFmt w:val="lowerLetter"/>
      <w:start w:val="6"/>
    </w:lvl>
  </w:abstractNum>
  <w:abstractNum w:abstractNumId="40">
    <w:nsid w:val="5F5E7FD0"/>
    <w:multiLevelType w:val="hybridMultilevel"/>
    <w:lvl w:ilvl="0">
      <w:lvlJc w:val="left"/>
      <w:lvlText w:val="(%1)"/>
      <w:numFmt w:val="lowerRoman"/>
      <w:start w:val="1"/>
    </w:lvl>
  </w:abstractNum>
  <w:abstractNum w:abstractNumId="41">
    <w:nsid w:val="98A3148"/>
    <w:multiLevelType w:val="hybridMultilevel"/>
    <w:lvl w:ilvl="0">
      <w:lvlJc w:val="left"/>
      <w:lvlText w:val="(%1)"/>
      <w:numFmt w:val="lowerRoman"/>
      <w:start w:val="4"/>
    </w:lvl>
  </w:abstractNum>
  <w:abstractNum w:abstractNumId="42">
    <w:nsid w:val="799D0247"/>
    <w:multiLevelType w:val="hybridMultilevel"/>
    <w:lvl w:ilvl="0">
      <w:lvlJc w:val="left"/>
      <w:lvlText w:val="(%1)"/>
      <w:numFmt w:val="upperLetter"/>
      <w:start w:val="2"/>
    </w:lvl>
  </w:abstractNum>
  <w:abstractNum w:abstractNumId="43">
    <w:nsid w:val="6B94764"/>
    <w:multiLevelType w:val="hybridMultilevel"/>
    <w:lvl w:ilvl="0">
      <w:lvlJc w:val="left"/>
      <w:lvlText w:val="(%1)"/>
      <w:numFmt w:val="lowerRoman"/>
      <w:start w:val="19"/>
    </w:lvl>
  </w:abstractNum>
  <w:abstractNum w:abstractNumId="44">
    <w:nsid w:val="42C296BD"/>
    <w:multiLevelType w:val="hybridMultilevel"/>
    <w:lvl w:ilvl="0">
      <w:lvlJc w:val="left"/>
      <w:lvlText w:val="(%1)"/>
      <w:numFmt w:val="lowerRoman"/>
      <w:start w:val="25"/>
    </w:lvl>
  </w:abstractNum>
  <w:abstractNum w:abstractNumId="45">
    <w:nsid w:val="168E121F"/>
    <w:multiLevelType w:val="hybridMultilevel"/>
    <w:lvl w:ilvl="0">
      <w:lvlJc w:val="left"/>
      <w:lvlText w:val="(%1)"/>
      <w:numFmt w:val="lowerRoman"/>
      <w:start w:val="1"/>
    </w:lvl>
  </w:abstractNum>
  <w:abstractNum w:abstractNumId="46">
    <w:nsid w:val="1EBA5D23"/>
    <w:multiLevelType w:val="hybridMultilevel"/>
    <w:lvl w:ilvl="0">
      <w:lvlJc w:val="left"/>
      <w:lvlText w:val="(%1)"/>
      <w:numFmt w:val="decimal"/>
      <w:start w:val="12"/>
    </w:lvl>
  </w:abstractNum>
  <w:abstractNum w:abstractNumId="47">
    <w:nsid w:val="661E3F1E"/>
    <w:multiLevelType w:val="hybridMultilevel"/>
    <w:lvl w:ilvl="0">
      <w:lvlJc w:val="left"/>
      <w:lvlText w:val="(%1)"/>
      <w:numFmt w:val="lowerRoman"/>
      <w:start w:val="2"/>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lowerRoman"/>
      <w:start w:val="3"/>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lowerRoman"/>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1)"/>
      <w:numFmt w:val="decimal"/>
      <w:start w:val="3"/>
    </w:lvl>
  </w:abstractNum>
  <w:abstractNum w:abstractNumId="59">
    <w:nsid w:val="3B0FD379"/>
    <w:multiLevelType w:val="hybridMultilevel"/>
    <w:lvl w:ilvl="0">
      <w:lvlJc w:val="left"/>
      <w:lvlText w:val="(%1)"/>
      <w:numFmt w:val="lowerLetter"/>
      <w:start w:val="4"/>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1)"/>
      <w:numFmt w:val="lowerRoman"/>
      <w:start w:val="1"/>
    </w:lvl>
  </w:abstractNum>
  <w:abstractNum w:abstractNumId="65">
    <w:nsid w:val="7FFFCA11"/>
    <w:multiLevelType w:val="hybridMultilevel"/>
    <w:lvl w:ilvl="0">
      <w:lvlJc w:val="left"/>
      <w:lvlText w:val="(%1)"/>
      <w:numFmt w:val="lowerLetter"/>
      <w:start w:val="25"/>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lowerRoman"/>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Roman"/>
      <w:start w:val="1"/>
    </w:lvl>
  </w:abstractNum>
  <w:abstractNum w:abstractNumId="72">
    <w:nsid w:val="94211F2"/>
    <w:multiLevelType w:val="hybridMultilevel"/>
    <w:lvl w:ilvl="0">
      <w:lvlJc w:val="left"/>
      <w:lvlText w:val="(%1)"/>
      <w:numFmt w:val="upperLetter"/>
      <w:start w:val="1"/>
    </w:lvl>
  </w:abstractNum>
  <w:abstractNum w:abstractNumId="73">
    <w:nsid w:val="885E1B"/>
    <w:multiLevelType w:val="hybridMultilevel"/>
    <w:lvl w:ilvl="0">
      <w:lvlJc w:val="left"/>
      <w:lvlText w:val="(%1)"/>
      <w:numFmt w:val="lowerLetter"/>
      <w:start w:val="2"/>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decimal"/>
      <w:start w:val="3"/>
    </w:lvl>
  </w:abstractNum>
  <w:abstractNum w:abstractNumId="83">
    <w:nsid w:val="4A2AC315"/>
    <w:multiLevelType w:val="hybridMultilevel"/>
    <w:lvl w:ilvl="0">
      <w:lvlJc w:val="left"/>
      <w:lvlText w:val="%1."/>
      <w:numFmt w:val="decimal"/>
      <w:start w:val="4"/>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3"/>
    </w:lvl>
  </w:abstractNum>
  <w:abstractNum w:abstractNumId="86">
    <w:nsid w:val="CC1016F"/>
    <w:multiLevelType w:val="hybridMultilevel"/>
    <w:lvl w:ilvl="0">
      <w:lvlJc w:val="left"/>
      <w:lvlText w:val="%1."/>
      <w:numFmt w:val="decimal"/>
      <w:start w:val="4"/>
    </w:lvl>
  </w:abstractNum>
  <w:abstractNum w:abstractNumId="87">
    <w:nsid w:val="43F18422"/>
    <w:multiLevelType w:val="hybridMultilevel"/>
    <w:lvl w:ilvl="0">
      <w:lvlJc w:val="left"/>
      <w:lvlText w:val="%1."/>
      <w:numFmt w:val="decimal"/>
      <w:start w:val="7"/>
    </w:lvl>
  </w:abstractNum>
  <w:abstractNum w:abstractNumId="88">
    <w:nsid w:val="60EF0119"/>
    <w:multiLevelType w:val="hybridMultilevel"/>
    <w:lvl w:ilvl="0">
      <w:lvlJc w:val="left"/>
      <w:lvlText w:val="%1."/>
      <w:numFmt w:val="decimal"/>
      <w:start w:val="8"/>
    </w:lvl>
  </w:abstractNum>
  <w:abstractNum w:abstractNumId="89">
    <w:nsid w:val="26F324BA"/>
    <w:multiLevelType w:val="hybridMultilevel"/>
    <w:lvl w:ilvl="0">
      <w:lvlJc w:val="left"/>
      <w:lvlText w:val="%1."/>
      <w:numFmt w:val="decimal"/>
      <w:start w:val="9"/>
    </w:lvl>
    <w:lvl w:ilvl="1">
      <w:lvlJc w:val="left"/>
      <w:lvlText w:val="●"/>
      <w:numFmt w:val="bullet"/>
      <w:start w:val="1"/>
    </w:lvl>
  </w:abstractNum>
  <w:abstractNum w:abstractNumId="90">
    <w:nsid w:val="7F01579B"/>
    <w:multiLevelType w:val="hybridMultilevel"/>
    <w:lvl w:ilvl="0">
      <w:lvlJc w:val="left"/>
      <w:lvlText w:val="%1."/>
      <w:numFmt w:val="decimal"/>
      <w:start w:val="10"/>
    </w:lvl>
  </w:abstractNum>
  <w:abstractNum w:abstractNumId="91">
    <w:nsid w:val="49DA307D"/>
    <w:multiLevelType w:val="hybridMultilevel"/>
    <w:lvl w:ilvl="0">
      <w:lvlJc w:val="left"/>
      <w:lvlText w:val="%1."/>
      <w:numFmt w:val="decimal"/>
      <w:start w:val="11"/>
    </w:lvl>
  </w:abstractNum>
  <w:abstractNum w:abstractNumId="92">
    <w:nsid w:val="7055A5F5"/>
    <w:multiLevelType w:val="hybridMultilevel"/>
    <w:lvl w:ilvl="0">
      <w:lvlJc w:val="left"/>
      <w:lvlText w:val="%1."/>
      <w:numFmt w:val="decimal"/>
      <w:start w:val="12"/>
    </w:lvl>
  </w:abstractNum>
  <w:abstractNum w:abstractNumId="93">
    <w:nsid w:val="5FB8370B"/>
    <w:multiLevelType w:val="hybridMultilevel"/>
    <w:lvl w:ilvl="0">
      <w:lvlJc w:val="left"/>
      <w:lvlText w:val="%1."/>
      <w:numFmt w:val="decimal"/>
      <w:start w:val="14"/>
    </w:lvl>
  </w:abstractNum>
  <w:abstractNum w:abstractNumId="94">
    <w:nsid w:val="50801EE1"/>
    <w:multiLevelType w:val="hybridMultilevel"/>
    <w:lvl w:ilvl="0">
      <w:lvlJc w:val="left"/>
      <w:lvlText w:val="%1."/>
      <w:numFmt w:val="decimal"/>
      <w:start w:val="15"/>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lowerLetter"/>
      <w:start w:val="26"/>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2026-04-24T08:10:41Z</dcterms:created>
  <dcterms:modified xsi:type="dcterms:W3CDTF">2026-04-24T08:10:41Z</dcterms:modified>
</cp:coreProperties>
</file>