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Gould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HORIZON QUANTUM HOLDINGS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MEDIA CIR. #05-22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138565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Horizon Quantum Holdings Ltd.</w:t>
              </w:r>
            </w:hyperlink>
            <w:r>
              <w:rPr/>
              <w:t xml:space="preserve"> [ </w:t>
            </w:r>
            <w:r>
              <w:rPr>
                <w:rFonts w:ascii="Times;serif" w:hAnsi="Times;serif"/>
                <w:color w:val="0000FF"/>
                <w:sz w:val="24"/>
                <w:shd w:fill="FFFFFF" w:val="clear"/>
              </w:rPr>
              <w:t>HQ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09/12/2026</w:t>
            </w:r>
            <w:r>
              <w:rPr>
                <w:rFonts w:ascii="Times;serif" w:hAnsi="Times;serif"/>
                <w:color w:val="008000"/>
                <w:position w:val="7"/>
                <w:sz w:val="16"/>
                <w:sz w:val="20"/>
                <w:shd w:fill="FFFFFF" w:val="clear"/>
              </w:rPr>
              <w:t>(1)</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3,437</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09/12/2026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1,272</w:t>
            </w:r>
            <w:r>
              <w:rPr>
                <w:rFonts w:ascii="Times;serif" w:hAnsi="Times;serif"/>
                <w:color w:val="008000"/>
                <w:position w:val="7"/>
                <w:sz w:val="16"/>
                <w:sz w:val="20"/>
                <w:shd w:fill="FFFFFF" w:val="clear"/>
              </w:rPr>
              <w:t>(3)</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15.22</w:t>
            </w:r>
            <w:r>
              <w:rPr>
                <w:rFonts w:ascii="Times;serif" w:hAnsi="Times;serif"/>
                <w:color w:val="008000"/>
                <w:position w:val="7"/>
                <w:sz w:val="16"/>
                <w:sz w:val="20"/>
                <w:shd w:fill="FFFFFF" w:val="clear"/>
              </w:rPr>
              <w:t>(3)</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2,165</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54,995</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54,995</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54,995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3,437</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51,558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12, 2026, 3,437 of Mr. Gould's RSU's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12, 2026 (the "Grant Date"), Mr. Gould was granted a total of 54,995 unvested restricted stock unites ("RSUs"), each representing a contingent right to receive one Class A ordinary share, with no par value ("Class A Ordinary Share"), of Horizon Quantum Holdings Ltd. (the "Company") upon vesting, for no consideration.. The RSUs granted to Mr. Gould vest in sixteen approximately equal installments on successive quarterly anniversaries of the Grant Date and are subject to Mr. Gould's continued employment with the Company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disposition to the Company reflects the settlement in cash of a portion of the RSUs which vested on September 12, 2026, at a price per ordinary share of $15.22, the last reported sales price of the Company's Class A Ordinary Shares on September 11,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Gould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154" TargetMode="External"/><Relationship Id="rId5" Type="http://schemas.openxmlformats.org/officeDocument/2006/relationships/hyperlink" Target="http://www.sec.gov/cgi-bin/browse-edgar?action=getcompany&amp;CIK=00020882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4099</Characters>
  <CharactersWithSpaces>4760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