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Fitzsimons Catherine Michele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 and 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(1)</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2,148</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09/12/2026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1,122</w:t>
            </w:r>
            <w:r>
              <w:rPr>
                <w:rFonts w:ascii="Times;serif" w:hAnsi="Times;serif"/>
                <w:color w:val="008000"/>
                <w:position w:val="7"/>
                <w:sz w:val="16"/>
                <w:sz w:val="20"/>
                <w:shd w:fill="FFFFFF" w:val="clear"/>
              </w:rPr>
              <w:t>(3)</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w:t>
            </w:r>
            <w:r>
              <w:rPr>
                <w:rFonts w:ascii="Times;serif" w:hAnsi="Times;serif"/>
                <w:color w:val="008000"/>
                <w:position w:val="7"/>
                <w:sz w:val="16"/>
                <w:sz w:val="20"/>
                <w:shd w:fill="FFFFFF" w:val="clear"/>
              </w:rPr>
              <w:t>(3)</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34,372</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34,372</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2,148</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12, 2026, 2,148 of Ms. Fitzsimons's RSU's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12, 2026 (the "Grant Date"), Ms. Fitzsimons was granted a total of 34,372 unvested restricted stock units ("RSUs"), each representing a contingent right to receive one Class A ordinary share, with no par value ("Class A Ordinary Share"), of Horizon Quantum Holdings Ltd. (the "Company") upon vesting, for no consideration.. The RSUs granted to Ms. Fitzsimons vest in sixteen approximately equal installments on successive quarterly anniversaries of the Grant Date and are subject to Ms. Fitzsimons's continued employment with the Company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disposition to the Company reflects the settlement in cash of a portion of the RSUs which vested on September 12, 2026, at a price per ordinary share of $15.22, the last reported sales price of the Company's Class A Ordinary Shares on September 11,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Catherine Michele Fitzsimons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065" TargetMode="External"/><Relationship Id="rId5" Type="http://schemas.openxmlformats.org/officeDocument/2006/relationships/hyperlink" Target="http://www.sec.gov/cgi-bin/browse-edgar?action=getcompany&amp;CIK=0002088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4138</Characters>
  <CharactersWithSpaces>4801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