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Horizon Quantum Holdings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Ordinary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Tencent Holdings Ltd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3,800,438.00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3,800,438.00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3,800,438.00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THL A12 Limited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VIRGIN ISLANDS, BRITISH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3,800,438.00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3,800,438.00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3,800,438.00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05"/>
        <w:gridCol w:w="8945"/>
        <w:gridCol w:w="155"/>
      </w:tblGrid>
      <w:tr>
        <w:trPr/>
        <w:tc>
          <w:tcPr>
            <w:tcW w:w="1105" w:type="dxa"/>
            <w:tcBorders/>
            <w:vAlign w:val="center"/>
          </w:tcPr>
          <w:p>
            <w:pPr>
              <w:pStyle w:val="TableContents"/>
              <w:bidi w:val="0"/>
              <w:spacing w:before="0" w:after="283"/>
              <w:jc w:val="left"/>
              <w:rPr/>
            </w:pPr>
            <w:r>
              <w:rPr/>
              <w:t>Item 1.</w:t>
            </w:r>
          </w:p>
        </w:tc>
        <w:tc>
          <w:tcPr>
            <w:tcW w:w="894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(a)</w:t>
            </w:r>
          </w:p>
        </w:tc>
        <w:tc>
          <w:tcPr>
            <w:tcW w:w="8945" w:type="dxa"/>
            <w:tcBorders/>
            <w:vAlign w:val="center"/>
          </w:tcPr>
          <w:p>
            <w:pPr>
              <w:pStyle w:val="TableContents"/>
              <w:bidi w:val="0"/>
              <w:jc w:val="left"/>
              <w:rPr/>
            </w:pPr>
            <w:r>
              <w:rPr/>
              <w:t xml:space="preserve">Name of issuer: </w:t>
            </w:r>
          </w:p>
          <w:p>
            <w:pPr>
              <w:pStyle w:val="TableContents"/>
              <w:bidi w:val="0"/>
              <w:spacing w:before="0" w:after="0"/>
              <w:jc w:val="left"/>
              <w:rPr/>
            </w:pPr>
            <w:r>
              <w:rPr/>
              <w:t>Horizon Quantum Holdings Ltd.</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(b)</w:t>
            </w:r>
          </w:p>
        </w:tc>
        <w:tc>
          <w:tcPr>
            <w:tcW w:w="894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29 Media Cir. #05-22, Singapore, 138565</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Item 2.</w:t>
            </w:r>
          </w:p>
        </w:tc>
        <w:tc>
          <w:tcPr>
            <w:tcW w:w="894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(a)</w:t>
            </w:r>
          </w:p>
        </w:tc>
        <w:tc>
          <w:tcPr>
            <w:tcW w:w="8945" w:type="dxa"/>
            <w:tcBorders/>
            <w:vAlign w:val="center"/>
          </w:tcPr>
          <w:p>
            <w:pPr>
              <w:pStyle w:val="TableContents"/>
              <w:bidi w:val="0"/>
              <w:jc w:val="left"/>
              <w:rPr/>
            </w:pPr>
            <w:r>
              <w:rPr/>
              <w:t xml:space="preserve">Name of person filing: </w:t>
            </w:r>
          </w:p>
          <w:p>
            <w:pPr>
              <w:pStyle w:val="TableContents"/>
              <w:bidi w:val="0"/>
              <w:spacing w:before="0" w:after="0"/>
              <w:jc w:val="left"/>
              <w:rPr/>
            </w:pPr>
            <w:r>
              <w:rPr/>
              <w:t>Tencent Holdings Limited THL A12 Limited</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(b)</w:t>
            </w:r>
          </w:p>
        </w:tc>
        <w:tc>
          <w:tcPr>
            <w:tcW w:w="894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For both Tencent Holdings Limited and THL A12 Limited: 29/F, Three Pacific Place No. 1 Queen's Road East Wanchai, Hong Kong</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(c)</w:t>
            </w:r>
          </w:p>
        </w:tc>
        <w:tc>
          <w:tcPr>
            <w:tcW w:w="8945" w:type="dxa"/>
            <w:tcBorders/>
            <w:vAlign w:val="center"/>
          </w:tcPr>
          <w:p>
            <w:pPr>
              <w:pStyle w:val="TableContents"/>
              <w:bidi w:val="0"/>
              <w:jc w:val="left"/>
              <w:rPr/>
            </w:pPr>
            <w:r>
              <w:rPr/>
              <w:t xml:space="preserve">Citizenship: </w:t>
            </w:r>
          </w:p>
          <w:p>
            <w:pPr>
              <w:pStyle w:val="TableContents"/>
              <w:bidi w:val="0"/>
              <w:spacing w:before="0" w:after="0"/>
              <w:jc w:val="left"/>
              <w:rPr/>
            </w:pPr>
            <w:r>
              <w:rPr/>
              <w:t>Tencent Holdings Limited - Cayman Islands THL A12 Limited - British Virgin Islands</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(d)</w:t>
            </w:r>
          </w:p>
        </w:tc>
        <w:tc>
          <w:tcPr>
            <w:tcW w:w="894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Ordinary Shares</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(e)</w:t>
            </w:r>
          </w:p>
        </w:tc>
        <w:tc>
          <w:tcPr>
            <w:tcW w:w="894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Item 3.</w:t>
            </w:r>
          </w:p>
        </w:tc>
        <w:tc>
          <w:tcPr>
            <w:tcW w:w="894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(a)</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(b)</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(c)</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(d)</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(e)</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(f)</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(g)</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(h)</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(j)</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(k)</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9100" w:type="dxa"/>
            <w:gridSpan w:val="2"/>
            <w:tcBorders/>
            <w:vAlign w:val="center"/>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Item 4.</w:t>
            </w:r>
          </w:p>
        </w:tc>
        <w:tc>
          <w:tcPr>
            <w:tcW w:w="894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(a)</w:t>
            </w:r>
          </w:p>
        </w:tc>
        <w:tc>
          <w:tcPr>
            <w:tcW w:w="894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THL A12 Limited beneficially owns 3,800,438 Class A Ordinary Shares. Tencent Holdings Limited may be deemed to have beneficial ownership of 3,800,438 Class A Ordinary Shares beneficially owned by THL A12 Limited, which is a direct wholly-owned subsidiary of Tencent Holdings Limited.</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(b)</w:t>
            </w:r>
          </w:p>
        </w:tc>
        <w:tc>
          <w:tcPr>
            <w:tcW w:w="894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row 11 of the cover page of each reporting person. The foregoing calculation is based on an aggregate of 34,227,495 Class A Ordinary Shares outstanding as of June 30, 2026, as reported in the unaudited condensed consolidated interim financial statements of the Issuer filed as Exhibit 99.1 to the Issuer's current report on Form 6-K furnished to the U.S. Securities and Exchange Commission on August 4, 2026.  %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(c)</w:t>
            </w:r>
          </w:p>
        </w:tc>
        <w:tc>
          <w:tcPr>
            <w:tcW w:w="894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row 5 of the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row 6 of the cover page of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row 7 of the cover page of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row 8 of the cover page of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Item 5.</w:t>
            </w:r>
          </w:p>
        </w:tc>
        <w:tc>
          <w:tcPr>
            <w:tcW w:w="894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Item 6.</w:t>
            </w:r>
          </w:p>
        </w:tc>
        <w:tc>
          <w:tcPr>
            <w:tcW w:w="894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Item 7.</w:t>
            </w:r>
          </w:p>
        </w:tc>
        <w:tc>
          <w:tcPr>
            <w:tcW w:w="894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Item 8.</w:t>
            </w:r>
          </w:p>
        </w:tc>
        <w:tc>
          <w:tcPr>
            <w:tcW w:w="894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Item 9.</w:t>
            </w:r>
          </w:p>
        </w:tc>
        <w:tc>
          <w:tcPr>
            <w:tcW w:w="894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728" w:type="dxa"/>
        <w:jc w:val="left"/>
        <w:tblInd w:w="0" w:type="dxa"/>
        <w:tblLayout w:type="fixed"/>
        <w:tblCellMar>
          <w:top w:w="28" w:type="dxa"/>
          <w:left w:w="28" w:type="dxa"/>
          <w:bottom w:w="28" w:type="dxa"/>
          <w:right w:w="28" w:type="dxa"/>
        </w:tblCellMar>
      </w:tblPr>
      <w:tblGrid>
        <w:gridCol w:w="2364"/>
        <w:gridCol w:w="2364"/>
      </w:tblGrid>
      <w:tr>
        <w:trPr/>
        <w:tc>
          <w:tcPr>
            <w:tcW w:w="2364" w:type="dxa"/>
            <w:tcBorders/>
            <w:vAlign w:val="center"/>
          </w:tcPr>
          <w:p>
            <w:pPr>
              <w:pStyle w:val="TableContents"/>
              <w:bidi w:val="0"/>
              <w:spacing w:before="0" w:after="0"/>
              <w:jc w:val="left"/>
              <w:rPr/>
            </w:pPr>
            <w:r>
              <w:rPr/>
              <w:t> </w:t>
            </w:r>
          </w:p>
          <w:tbl>
            <w:tblPr>
              <w:tblW w:w="2251" w:type="dxa"/>
              <w:jc w:val="left"/>
              <w:tblInd w:w="0" w:type="dxa"/>
              <w:tblLayout w:type="fixed"/>
              <w:tblCellMar>
                <w:top w:w="28" w:type="dxa"/>
                <w:left w:w="28" w:type="dxa"/>
                <w:bottom w:w="28" w:type="dxa"/>
                <w:right w:w="28" w:type="dxa"/>
              </w:tblCellMar>
            </w:tblPr>
            <w:tblGrid>
              <w:gridCol w:w="2251"/>
            </w:tblGrid>
            <w:tr>
              <w:trPr/>
              <w:tc>
                <w:tcPr>
                  <w:tcW w:w="2251" w:type="dxa"/>
                  <w:tcBorders/>
                  <w:vAlign w:val="center"/>
                </w:tcPr>
                <w:p>
                  <w:pPr>
                    <w:pStyle w:val="TableContents"/>
                    <w:bidi w:val="0"/>
                    <w:spacing w:before="0" w:after="0"/>
                    <w:jc w:val="left"/>
                    <w:rPr/>
                  </w:pPr>
                  <w:r>
                    <w:rPr/>
                    <w:t>Tencent Holdings Ltd</w:t>
                  </w:r>
                </w:p>
              </w:tc>
            </w:tr>
          </w:tbl>
          <w:p>
            <w:pPr>
              <w:pStyle w:val="TableContents"/>
              <w:bidi w:val="0"/>
              <w:spacing w:before="0" w:after="283"/>
              <w:jc w:val="left"/>
              <w:rPr/>
            </w:pPr>
            <w:r>
              <w:rPr/>
            </w:r>
          </w:p>
        </w:tc>
        <w:tc>
          <w:tcPr>
            <w:tcW w:w="236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3"/>
        <w:gridCol w:w="4372"/>
      </w:tblGrid>
      <w:tr>
        <w:trPr/>
        <w:tc>
          <w:tcPr>
            <w:tcW w:w="583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Ma Huateng</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Ma Huateng, Director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72" w:type="dxa"/>
            <w:tcBorders/>
            <w:vAlign w:val="center"/>
          </w:tcPr>
          <w:p>
            <w:pPr>
              <w:pStyle w:val="TableContents"/>
              <w:bidi w:val="0"/>
              <w:spacing w:before="0" w:after="283"/>
              <w:jc w:val="left"/>
              <w:rPr>
                <w:sz w:val="4"/>
                <w:szCs w:val="4"/>
              </w:rPr>
            </w:pPr>
            <w:r>
              <w:rPr>
                <w:sz w:val="4"/>
                <w:szCs w:val="4"/>
              </w:rPr>
            </w:r>
          </w:p>
        </w:tc>
      </w:tr>
    </w:tbl>
    <w:tbl>
      <w:tblPr>
        <w:tblW w:w="4104" w:type="dxa"/>
        <w:jc w:val="left"/>
        <w:tblInd w:w="0" w:type="dxa"/>
        <w:tblLayout w:type="fixed"/>
        <w:tblCellMar>
          <w:top w:w="28" w:type="dxa"/>
          <w:left w:w="28" w:type="dxa"/>
          <w:bottom w:w="28" w:type="dxa"/>
          <w:right w:w="28" w:type="dxa"/>
        </w:tblCellMar>
      </w:tblPr>
      <w:tblGrid>
        <w:gridCol w:w="2052"/>
        <w:gridCol w:w="2052"/>
      </w:tblGrid>
      <w:tr>
        <w:trPr/>
        <w:tc>
          <w:tcPr>
            <w:tcW w:w="2052" w:type="dxa"/>
            <w:tcBorders/>
            <w:vAlign w:val="center"/>
          </w:tcPr>
          <w:p>
            <w:pPr>
              <w:pStyle w:val="TableContents"/>
              <w:bidi w:val="0"/>
              <w:spacing w:before="0" w:after="0"/>
              <w:jc w:val="left"/>
              <w:rPr/>
            </w:pPr>
            <w:r>
              <w:rPr/>
              <w:t> </w:t>
            </w:r>
          </w:p>
          <w:tbl>
            <w:tblPr>
              <w:tblW w:w="1921" w:type="dxa"/>
              <w:jc w:val="left"/>
              <w:tblInd w:w="0" w:type="dxa"/>
              <w:tblLayout w:type="fixed"/>
              <w:tblCellMar>
                <w:top w:w="28" w:type="dxa"/>
                <w:left w:w="28" w:type="dxa"/>
                <w:bottom w:w="28" w:type="dxa"/>
                <w:right w:w="28" w:type="dxa"/>
              </w:tblCellMar>
            </w:tblPr>
            <w:tblGrid>
              <w:gridCol w:w="1921"/>
            </w:tblGrid>
            <w:tr>
              <w:trPr/>
              <w:tc>
                <w:tcPr>
                  <w:tcW w:w="1921" w:type="dxa"/>
                  <w:tcBorders/>
                  <w:vAlign w:val="center"/>
                </w:tcPr>
                <w:p>
                  <w:pPr>
                    <w:pStyle w:val="TableContents"/>
                    <w:bidi w:val="0"/>
                    <w:spacing w:before="0" w:after="0"/>
                    <w:jc w:val="left"/>
                    <w:rPr/>
                  </w:pPr>
                  <w:r>
                    <w:rPr/>
                    <w:t>THL A12 Limited</w:t>
                  </w:r>
                </w:p>
              </w:tc>
            </w:tr>
          </w:tbl>
          <w:p>
            <w:pPr>
              <w:pStyle w:val="TableContents"/>
              <w:bidi w:val="0"/>
              <w:spacing w:before="0" w:after="283"/>
              <w:jc w:val="left"/>
              <w:rPr/>
            </w:pPr>
            <w:r>
              <w:rPr/>
            </w:r>
          </w:p>
        </w:tc>
        <w:tc>
          <w:tcPr>
            <w:tcW w:w="205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8"/>
        <w:gridCol w:w="4417"/>
      </w:tblGrid>
      <w:tr>
        <w:trPr/>
        <w:tc>
          <w:tcPr>
            <w:tcW w:w="578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Li Qingjie</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Li Qingjie, Director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99.1 Joint Filing Agreement (previously filed as Exhibit 99.1 to Schedule 13G filed by the reporting persons with the Securities and Exchange Commission on March 25, 2026).</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1045</Words>
  <Characters>5377</Characters>
  <CharactersWithSpaces>6392</CharactersWithSpaces>
  <Paragraphs>209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